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7E146D" w:rsidRDefault="00854134" w:rsidP="00C267FD">
      <w:pPr>
        <w:spacing w:after="20"/>
        <w:jc w:val="center"/>
      </w:pPr>
      <w:bookmarkStart w:id="0" w:name="_Toc125170279"/>
      <w:r>
        <w:rPr>
          <w:rFonts w:ascii="Tahoma" w:hAnsi="Tahoma" w:cs="Tahoma"/>
          <w:i/>
          <w:sz w:val="28"/>
          <w:szCs w:val="28"/>
        </w:rPr>
        <w:t>C</w:t>
      </w:r>
      <w:bookmarkStart w:id="1" w:name="_GoBack"/>
      <w:bookmarkEnd w:id="1"/>
      <w:r>
        <w:rPr>
          <w:rFonts w:ascii="Tahoma" w:hAnsi="Tahoma" w:cs="Tahoma"/>
          <w:i/>
          <w:sz w:val="28"/>
          <w:szCs w:val="28"/>
        </w:rPr>
        <w:t>ontratto di Distribuzione, di Licenza e Royalty Microsoft Independent Software Vendor</w:t>
      </w:r>
      <w:bookmarkEnd w:id="0"/>
      <w:r>
        <w:rPr>
          <w:rFonts w:ascii="Tahoma" w:hAnsi="Tahoma" w:cs="Tahoma"/>
          <w:i/>
          <w:sz w:val="28"/>
          <w:szCs w:val="28"/>
        </w:rPr>
        <w:t xml:space="preserve"> </w:t>
      </w:r>
    </w:p>
    <w:p w14:paraId="07847272" w14:textId="77777777" w:rsidR="00EF0BAE" w:rsidRPr="008B10EB" w:rsidRDefault="00AF7DE6" w:rsidP="00EF0BAE">
      <w:pPr>
        <w:spacing w:before="240" w:after="240"/>
        <w:jc w:val="center"/>
        <w:rPr>
          <w:rFonts w:ascii="Tahoma" w:hAnsi="Tahoma" w:cs="Tahoma"/>
          <w:b/>
          <w:i/>
          <w:sz w:val="32"/>
          <w:szCs w:val="32"/>
        </w:rPr>
      </w:pPr>
      <w:r>
        <w:rPr>
          <w:rFonts w:ascii="Tahoma" w:hAnsi="Tahoma" w:cs="Tahoma"/>
          <w:b/>
          <w:i/>
          <w:sz w:val="32"/>
          <w:szCs w:val="32"/>
        </w:rPr>
        <w:t>LISTA DEI PRODOTTI ISVR</w:t>
      </w:r>
    </w:p>
    <w:p w14:paraId="22BB8B95" w14:textId="433D9F9F" w:rsidR="00F673DB" w:rsidRPr="007E146D" w:rsidRDefault="002A18CD" w:rsidP="00001BB2">
      <w:pPr>
        <w:spacing w:before="240" w:after="240"/>
      </w:pPr>
      <w:r>
        <w:rPr>
          <w:rFonts w:ascii="Tahoma" w:hAnsi="Tahoma" w:cs="Tahoma"/>
        </w:rPr>
        <w:t xml:space="preserve">I termini in maiuscolo utilizzati, ma non definiti nel presente contratto, avranno il significato assegnato loro nel Contratto di Distribuzione, di Licenza e Royalty Microsoft ISV (il </w:t>
      </w:r>
      <w:r w:rsidR="00001BB2">
        <w:rPr>
          <w:rFonts w:ascii="Tahoma" w:hAnsi="Tahoma" w:cs="Tahoma"/>
        </w:rPr>
        <w:t>“</w:t>
      </w:r>
      <w:r>
        <w:rPr>
          <w:rFonts w:ascii="Tahoma" w:hAnsi="Tahoma" w:cs="Tahoma"/>
        </w:rPr>
        <w:t>Contratto”) o nel Contratto di Distribuzione, di Licenza e Royalty Microsoft Academic ISV (il “Contratto Academic”).</w:t>
      </w:r>
    </w:p>
    <w:p w14:paraId="22BB8B96" w14:textId="77777777" w:rsidR="00F673DB" w:rsidRPr="00EF0BAE" w:rsidRDefault="00F673DB" w:rsidP="00C267FD">
      <w:pPr>
        <w:pStyle w:val="Firstpara"/>
        <w:ind w:left="0"/>
        <w:jc w:val="both"/>
        <w:rPr>
          <w:rFonts w:ascii="Tahoma" w:hAnsi="Tahoma" w:cs="Tahoma"/>
        </w:rPr>
      </w:pPr>
    </w:p>
    <w:p w14:paraId="22BB8B97" w14:textId="77777777" w:rsidR="009F731B" w:rsidRPr="007E146D" w:rsidRDefault="009F731B" w:rsidP="00C267FD">
      <w:pPr>
        <w:jc w:val="center"/>
      </w:pPr>
    </w:p>
    <w:p w14:paraId="22BB8B98" w14:textId="3436E518" w:rsidR="00D26BFF" w:rsidRPr="007E146D" w:rsidRDefault="00CC57D0" w:rsidP="00C267FD">
      <w:pPr>
        <w:pStyle w:val="Heading2"/>
        <w:keepNext w:val="0"/>
        <w:spacing w:after="0"/>
      </w:pPr>
      <w:r>
        <w:rPr>
          <w:rFonts w:ascii="Tahoma" w:hAnsi="Tahoma" w:cs="Tahoma"/>
          <w:color w:val="FF6600"/>
          <w:sz w:val="24"/>
          <w:szCs w:val="24"/>
        </w:rPr>
        <w:t>Modifiche apportate alla Lista dei Prodotti ISVR nel mese di Aprile 2015</w:t>
      </w:r>
      <w:r>
        <w:rPr>
          <w:rFonts w:ascii="Tahoma" w:hAnsi="Tahoma" w:cs="Tahoma"/>
          <w:b w:val="0"/>
          <w:color w:val="FF6600"/>
        </w:rPr>
        <w:t xml:space="preserve"> </w:t>
      </w:r>
    </w:p>
    <w:p w14:paraId="22BB8B99" w14:textId="77777777" w:rsidR="00D26BFF" w:rsidRPr="007E146D" w:rsidRDefault="00D26BFF" w:rsidP="00C267FD"/>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68"/>
        <w:gridCol w:w="5714"/>
      </w:tblGrid>
      <w:tr w:rsidR="00D26BFF" w:rsidRPr="00C267FD" w14:paraId="22BB8B9C" w14:textId="77777777" w:rsidTr="00001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bl>
    <w:p w14:paraId="3DF40B9F" w14:textId="02A21334" w:rsidR="003C6734" w:rsidRPr="00057585" w:rsidRDefault="003C6734" w:rsidP="00C267FD">
      <w:pPr>
        <w:rPr>
          <w:rFonts w:ascii="Tahoma" w:hAnsi="Tahoma" w:cs="Tahoma"/>
        </w:rPr>
      </w:pPr>
    </w:p>
    <w:p w14:paraId="489B2332" w14:textId="77777777" w:rsidR="003C6734" w:rsidRPr="00057585"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14:paraId="6F850279" w14:textId="77777777" w:rsidTr="00001BB2">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54D38BA6" w14:textId="77777777" w:rsidR="00C267FD" w:rsidRPr="007E146D" w:rsidRDefault="00C267FD" w:rsidP="00C267FD"/>
    <w:p w14:paraId="4A8DC3A7" w14:textId="7F0E625C" w:rsidR="00BD41AF" w:rsidRPr="00057585" w:rsidRDefault="00BD41AF" w:rsidP="00BD41AF">
      <w:pPr>
        <w:spacing w:before="120"/>
        <w:jc w:val="both"/>
        <w:rPr>
          <w:rFonts w:ascii="Tahoma" w:hAnsi="Tahoma" w:cs="Tahoma"/>
          <w:b/>
          <w:color w:val="FF6600"/>
          <w:lang w:val="en-US" w:eastAsia="en-US" w:bidi="ar-SA"/>
        </w:rPr>
      </w:pPr>
      <w:r w:rsidRPr="00057585">
        <w:rPr>
          <w:rFonts w:ascii="Tahoma" w:hAnsi="Tahoma" w:cs="Tahoma"/>
          <w:b/>
          <w:color w:val="FF6600"/>
          <w:lang w:val="en-US" w:eastAsia="en-US" w:bidi="ar-SA"/>
        </w:rPr>
        <w:t>Microsoft Dynamics CRM</w:t>
      </w:r>
    </w:p>
    <w:p w14:paraId="3B97BCD4" w14:textId="616E6DD3" w:rsidR="00BD41AF" w:rsidRPr="007E146D" w:rsidRDefault="00BD41AF" w:rsidP="00BD41AF">
      <w:r>
        <w:rPr>
          <w:rFonts w:ascii="Tahoma" w:hAnsi="Tahoma" w:cs="Tahoma"/>
        </w:rPr>
        <w:t xml:space="preserve">Le società con Utenti Finali coperti da licenze attive per Embedded Maintenance per </w:t>
      </w:r>
      <w:r>
        <w:rPr>
          <w:rFonts w:ascii="Tahoma" w:hAnsi="Tahoma" w:cs="Tahoma"/>
          <w:color w:val="000000"/>
        </w:rPr>
        <w:t>Microsoft Dynamics CRM 2011 o versioni precedenti potranno eseguire l’aggiornamento a Microsoft Dynamics 2013/2015 e distribuire il prodotto nella modalità descritta nel sottoparagrafo Microsoft Dynamics dell’Articolo C) Concessioni per la Migrazione dei Prodotti.</w:t>
      </w:r>
    </w:p>
    <w:p w14:paraId="375A66A3" w14:textId="77777777" w:rsidR="004E51A1" w:rsidRPr="008A1610" w:rsidRDefault="004E51A1" w:rsidP="00BD4692">
      <w:pPr>
        <w:rPr>
          <w:rFonts w:ascii="Tahoma" w:hAnsi="Tahoma" w:cs="Tahoma"/>
        </w:rPr>
      </w:pPr>
    </w:p>
    <w:p w14:paraId="3DD8035C" w14:textId="77777777" w:rsidR="004E51A1" w:rsidRPr="008A1610" w:rsidRDefault="004E51A1" w:rsidP="00BD4692">
      <w:pPr>
        <w:rPr>
          <w:rFonts w:ascii="Tahoma" w:hAnsi="Tahoma" w:cs="Tahoma"/>
        </w:rPr>
      </w:pPr>
    </w:p>
    <w:p w14:paraId="18EE3BBA" w14:textId="2305A775" w:rsidR="00FC4033" w:rsidRPr="008A1610" w:rsidRDefault="00FC4033" w:rsidP="00BD4692">
      <w:pPr>
        <w:rPr>
          <w:rFonts w:ascii="Tahoma" w:hAnsi="Tahoma" w:cs="Tahoma"/>
        </w:rPr>
      </w:pPr>
    </w:p>
    <w:p w14:paraId="22BB8BB3" w14:textId="6766262D" w:rsidR="00F038FE" w:rsidRPr="007E146D" w:rsidRDefault="00D63435" w:rsidP="00C267FD">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10"/>
        <w:gridCol w:w="2920"/>
        <w:gridCol w:w="450"/>
        <w:gridCol w:w="450"/>
        <w:gridCol w:w="450"/>
        <w:gridCol w:w="320"/>
      </w:tblGrid>
      <w:tr w:rsidR="00DE25DE" w:rsidRPr="008B10EB" w14:paraId="22BB8BB6" w14:textId="77777777" w:rsidTr="00FE1D21">
        <w:tc>
          <w:tcPr>
            <w:tcW w:w="621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5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8B10EB" w14:paraId="22BB8BBA" w14:textId="77777777" w:rsidTr="00FE1D21">
        <w:tc>
          <w:tcPr>
            <w:tcW w:w="621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FE1D21">
        <w:tc>
          <w:tcPr>
            <w:tcW w:w="6210"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FE1D21">
        <w:tc>
          <w:tcPr>
            <w:tcW w:w="621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FE1D21">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FE1D21">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BD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BFB"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01"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Standard ed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0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8037CA" w:rsidRPr="008B10EB" w14:paraId="000D4AEE"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D0C0850" w14:textId="3EF985E5" w:rsidR="008037CA" w:rsidRPr="008B10EB" w:rsidRDefault="008037CA" w:rsidP="008037CA">
            <w:pPr>
              <w:rPr>
                <w:rFonts w:ascii="Tahoma" w:hAnsi="Tahoma" w:cs="Tahoma"/>
                <w:bCs/>
                <w:sz w:val="16"/>
                <w:szCs w:val="19"/>
              </w:rPr>
            </w:pPr>
            <w:r w:rsidRPr="00206E89">
              <w:rPr>
                <w:rFonts w:ascii="Tahoma" w:hAnsi="Tahoma" w:cs="Tahoma"/>
                <w:bCs/>
                <w:sz w:val="16"/>
                <w:szCs w:val="19"/>
              </w:rPr>
              <w:t xml:space="preserve">Lync Server </w:t>
            </w:r>
            <w:r>
              <w:rPr>
                <w:rFonts w:ascii="Tahoma" w:hAnsi="Tahoma" w:cs="Tahoma"/>
                <w:bCs/>
                <w:sz w:val="16"/>
                <w:szCs w:val="19"/>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1A7B54F" w14:textId="77777777" w:rsidR="008037CA" w:rsidRPr="00206E89" w:rsidRDefault="008037CA" w:rsidP="008037C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9E38624" w14:textId="77777777" w:rsidR="008037CA" w:rsidRPr="00206E89" w:rsidRDefault="008037CA" w:rsidP="008037CA">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89E093E" w14:textId="77777777" w:rsidR="008037CA" w:rsidRPr="00206E89" w:rsidRDefault="008037CA" w:rsidP="008037CA">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1D5543B" w14:textId="059279B6" w:rsidR="008037CA" w:rsidRPr="00206E89" w:rsidRDefault="008037CA" w:rsidP="008037CA">
            <w:pPr>
              <w:jc w:val="center"/>
              <w:rPr>
                <w:rStyle w:val="Hyperlink"/>
                <w:rFonts w:ascii="Tahoma" w:hAnsi="Tahoma" w:cs="Tahoma"/>
                <w:bCs/>
                <w:iCs/>
                <w:color w:val="auto"/>
                <w:sz w:val="16"/>
                <w:szCs w:val="16"/>
                <w:u w:val="none"/>
              </w:rPr>
            </w:pPr>
            <w:r w:rsidRPr="00AF7DE6">
              <w:rPr>
                <w:rStyle w:val="Hyperlink"/>
                <w:rFonts w:ascii="Tahoma" w:hAnsi="Tahoma" w:cs="Tahoma"/>
                <w:bCs/>
                <w:iCs/>
                <w:color w:val="auto"/>
                <w:sz w:val="16"/>
                <w:szCs w:val="16"/>
                <w:u w:val="none"/>
                <w:lang w:val="pt-BR"/>
              </w:rPr>
              <w:t>m</w:t>
            </w:r>
          </w:p>
        </w:tc>
      </w:tr>
      <w:tr w:rsidR="00BF6321" w:rsidRPr="008B10EB" w14:paraId="5DCDE502"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9"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F"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55"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5B"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1"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6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D"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7F"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4247CA" w:rsidRPr="008B10EB" w14:paraId="26283F2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Pr>
                <w:rFonts w:ascii="Tahoma" w:hAnsi="Tahoma" w:cs="Tahoma"/>
                <w:bCs/>
                <w:sz w:val="16"/>
                <w:szCs w:val="19"/>
              </w:rPr>
              <w:t>SQL Server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Pr>
                <w:rFonts w:ascii="Tahoma" w:hAnsi="Tahoma" w:cs="Tahoma"/>
                <w:bCs/>
                <w:sz w:val="16"/>
                <w:szCs w:val="19"/>
              </w:rPr>
              <w:t>SQL Server 2014, Edizioni Standard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Pr>
                <w:rFonts w:ascii="Tahoma" w:hAnsi="Tahoma" w:cs="Tahoma"/>
                <w:bCs/>
                <w:sz w:val="16"/>
                <w:szCs w:val="19"/>
              </w:rPr>
              <w:t>SQL Server 2014, Edizioni Standard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D9"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E5"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Pr>
                <w:rFonts w:ascii="Tahoma" w:hAnsi="Tahoma" w:cs="Tahoma"/>
                <w:bCs/>
                <w:sz w:val="16"/>
                <w:szCs w:val="19"/>
              </w:rPr>
              <w:t>CAL per Servizi Desktop Remoto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8B10EB" w14:paraId="22BB8D09"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22BB8D0A" w14:textId="77777777" w:rsidR="00CC3B64" w:rsidRPr="007E146D" w:rsidRDefault="00AF7DE6" w:rsidP="00C267FD">
      <w:pPr>
        <w:spacing w:before="120" w:after="20"/>
      </w:pPr>
      <w:bookmarkStart w:id="4" w:name="_Q.__Do_I_need_to_buy_Commerce_Serve"/>
      <w:bookmarkEnd w:id="2"/>
      <w:bookmarkEnd w:id="3"/>
      <w:bookmarkEnd w:id="4"/>
      <w:r>
        <w:rPr>
          <w:rFonts w:ascii="Tahoma" w:hAnsi="Tahoma" w:cs="Tahoma"/>
          <w:i/>
          <w:sz w:val="18"/>
          <w:szCs w:val="18"/>
        </w:rPr>
        <w:t xml:space="preserve">*Per i prodotti A, B, C e D nella colonna di destra sono disponibili condizioni aggiuntive negli Articoli A-D che seguono. </w:t>
      </w:r>
      <w:r>
        <w:rPr>
          <w:rFonts w:ascii="Tahoma" w:hAnsi="Tahoma" w:cs="Tahoma"/>
          <w:i/>
          <w:sz w:val="32"/>
          <w:szCs w:val="32"/>
        </w:rPr>
        <w:br w:type="page"/>
      </w:r>
    </w:p>
    <w:p w14:paraId="22BB8D0B" w14:textId="77777777" w:rsidR="00A26EDA" w:rsidRPr="008A1610" w:rsidRDefault="00A26EDA" w:rsidP="008A1610">
      <w:pPr>
        <w:pStyle w:val="ListParagraph"/>
        <w:numPr>
          <w:ilvl w:val="0"/>
          <w:numId w:val="25"/>
        </w:numPr>
        <w:ind w:left="720"/>
        <w:jc w:val="both"/>
        <w:rPr>
          <w:rFonts w:ascii="Tahoma" w:hAnsi="Tahoma" w:cs="Tahoma"/>
          <w:b/>
          <w:color w:val="FF6600"/>
          <w:sz w:val="24"/>
          <w:szCs w:val="24"/>
          <w:lang w:val="en-US" w:eastAsia="x-none" w:bidi="ar-SA"/>
        </w:rPr>
      </w:pPr>
      <w:r w:rsidRPr="008A1610">
        <w:rPr>
          <w:rFonts w:ascii="Tahoma" w:hAnsi="Tahoma" w:cs="Tahoma"/>
          <w:b/>
          <w:color w:val="FF6600"/>
          <w:sz w:val="24"/>
          <w:szCs w:val="24"/>
          <w:lang w:val="en-US" w:eastAsia="x-none" w:bidi="ar-SA"/>
        </w:rPr>
        <w:t>Condizioni Aggiuntive per i Prodotti</w:t>
      </w:r>
    </w:p>
    <w:p w14:paraId="22BB8D0C" w14:textId="77777777" w:rsidR="00A26EDA" w:rsidRPr="00E0035D" w:rsidRDefault="00A26EDA" w:rsidP="00C267FD">
      <w:pPr>
        <w:jc w:val="both"/>
        <w:rPr>
          <w:rFonts w:ascii="Tahoma" w:hAnsi="Tahoma" w:cs="Tahoma"/>
        </w:rPr>
      </w:pPr>
    </w:p>
    <w:p w14:paraId="22BB8D0D" w14:textId="60C24D8C" w:rsidR="00CC3B64" w:rsidRPr="007E146D" w:rsidRDefault="00CC3B64" w:rsidP="00C267FD">
      <w:pPr>
        <w:numPr>
          <w:ilvl w:val="0"/>
          <w:numId w:val="15"/>
        </w:numPr>
        <w:jc w:val="both"/>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2013, Project Professional 2013 e Visio 2013):</w:t>
      </w:r>
    </w:p>
    <w:p w14:paraId="22BB8D0E" w14:textId="77777777" w:rsidR="00CC3B64" w:rsidRPr="007E146D" w:rsidRDefault="00CC3B64" w:rsidP="00C267FD">
      <w:pPr>
        <w:jc w:val="both"/>
      </w:pPr>
    </w:p>
    <w:p w14:paraId="22BB8D0F" w14:textId="224CF253" w:rsidR="00CC3B64" w:rsidRPr="00E0035D" w:rsidRDefault="00CC3B64" w:rsidP="00C267FD">
      <w:pPr>
        <w:numPr>
          <w:ilvl w:val="0"/>
          <w:numId w:val="3"/>
        </w:numPr>
        <w:ind w:left="1267"/>
        <w:jc w:val="both"/>
        <w:rPr>
          <w:rFonts w:ascii="Tahoma" w:hAnsi="Tahoma" w:cs="Tahoma"/>
        </w:rPr>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beneficio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 </w:t>
      </w:r>
    </w:p>
    <w:p w14:paraId="22BB8D10" w14:textId="06497436" w:rsidR="00554191" w:rsidRPr="00E0035D" w:rsidRDefault="00554191" w:rsidP="00C267FD">
      <w:pPr>
        <w:numPr>
          <w:ilvl w:val="0"/>
          <w:numId w:val="3"/>
        </w:numPr>
        <w:ind w:left="1267"/>
        <w:jc w:val="both"/>
        <w:rPr>
          <w:rFonts w:ascii="Tahoma" w:hAnsi="Tahoma" w:cs="Tahoma"/>
        </w:rPr>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2013</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2BB8D12" w14:textId="77777777" w:rsidR="00CC3B64" w:rsidRPr="007E146D" w:rsidRDefault="00CC3B64" w:rsidP="00C267FD">
      <w:pPr>
        <w:jc w:val="both"/>
      </w:pPr>
    </w:p>
    <w:p w14:paraId="22BB8D18" w14:textId="77777777" w:rsidR="00554191" w:rsidRPr="00E0035D" w:rsidRDefault="00554191" w:rsidP="00C267FD">
      <w:pPr>
        <w:pStyle w:val="ListParagraph"/>
        <w:ind w:left="1260"/>
        <w:jc w:val="both"/>
        <w:rPr>
          <w:rFonts w:ascii="Tahoma" w:hAnsi="Tahoma" w:cs="Tahoma"/>
        </w:rPr>
      </w:pPr>
    </w:p>
    <w:p w14:paraId="22BB8D19" w14:textId="46A47C1C" w:rsidR="00554191" w:rsidRPr="00E0035D" w:rsidRDefault="00554191" w:rsidP="00C267FD">
      <w:pPr>
        <w:pStyle w:val="ListParagraph"/>
        <w:numPr>
          <w:ilvl w:val="0"/>
          <w:numId w:val="15"/>
        </w:numPr>
        <w:rPr>
          <w:rFonts w:ascii="Tahoma" w:hAnsi="Tahoma" w:cs="Tahoma"/>
        </w:rPr>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22BB8D1A" w14:textId="77777777" w:rsidR="00554191" w:rsidRPr="00E0035D" w:rsidRDefault="00554191" w:rsidP="00C267FD">
      <w:pPr>
        <w:pStyle w:val="ListParagraph"/>
        <w:ind w:left="360"/>
        <w:rPr>
          <w:rFonts w:ascii="Tahoma" w:hAnsi="Tahoma" w:cs="Tahoma"/>
        </w:rPr>
      </w:pPr>
    </w:p>
    <w:p w14:paraId="7439A98F" w14:textId="6AF9C712" w:rsidR="00767B63" w:rsidRPr="007E146D" w:rsidRDefault="00767B63" w:rsidP="00C267FD">
      <w:pPr>
        <w:pStyle w:val="ListParagraph"/>
        <w:numPr>
          <w:ilvl w:val="0"/>
          <w:numId w:val="30"/>
        </w:numPr>
        <w:ind w:left="1350"/>
      </w:pPr>
      <w:r>
        <w:rPr>
          <w:rFonts w:ascii="Tahoma" w:hAnsi="Tahoma" w:cs="Tahoma"/>
        </w:rPr>
        <w:t>includa le Condizioni di Licenza Microsoft per i Prodotti CAL indicati nel rispettivo Contratto con l’Utente Finale e</w:t>
      </w:r>
    </w:p>
    <w:p w14:paraId="353F9AFD" w14:textId="538B3500" w:rsidR="00767B63" w:rsidRPr="00E0035D" w:rsidRDefault="00767B63" w:rsidP="00C267FD">
      <w:pPr>
        <w:pStyle w:val="ListParagraph"/>
        <w:numPr>
          <w:ilvl w:val="0"/>
          <w:numId w:val="30"/>
        </w:numPr>
        <w:ind w:left="1350"/>
        <w:rPr>
          <w:rFonts w:ascii="Tahoma" w:hAnsi="Tahoma" w:cs="Tahoma"/>
        </w:rPr>
      </w:pPr>
      <w:r>
        <w:rPr>
          <w:rFonts w:ascii="Tahoma" w:hAnsi="Tahoma" w:cs="Tahoma"/>
        </w:rPr>
        <w:t>la Soluzione Unificata utilizzi la versione appropriata della CAL per Servizi Desktop Remoto di Windows Server in conformità alla versione del componente server di Windows Server in uso.</w:t>
      </w:r>
    </w:p>
    <w:p w14:paraId="0B56EBB0" w14:textId="77777777" w:rsidR="00767B63" w:rsidRPr="00E0035D" w:rsidRDefault="00767B63" w:rsidP="00C267FD">
      <w:pPr>
        <w:pStyle w:val="ListParagraph"/>
        <w:ind w:left="360"/>
        <w:rPr>
          <w:rFonts w:ascii="Tahoma" w:hAnsi="Tahoma" w:cs="Tahoma"/>
        </w:rPr>
      </w:pPr>
    </w:p>
    <w:p w14:paraId="595D1830" w14:textId="5591AD7C" w:rsidR="00767B63" w:rsidRPr="007E146D" w:rsidRDefault="00767B63" w:rsidP="00C267FD">
      <w:pPr>
        <w:pStyle w:val="ListParagraph"/>
        <w:ind w:left="360"/>
      </w:pPr>
      <w:r>
        <w:rPr>
          <w:rFonts w:ascii="Tahoma" w:hAnsi="Tahoma" w:cs="Tahoma"/>
          <w:bCs/>
          <w:iCs/>
          <w:color w:val="000000"/>
        </w:rPr>
        <w:t>Licenze CAL per Servizi Desktop Remoto (RDS):</w:t>
      </w:r>
    </w:p>
    <w:p w14:paraId="0DE5F140" w14:textId="77777777" w:rsidR="006A34DC" w:rsidRPr="00E0035D" w:rsidRDefault="006A34DC" w:rsidP="00C267FD">
      <w:pPr>
        <w:pStyle w:val="ListParagraph"/>
        <w:ind w:left="360"/>
        <w:rPr>
          <w:rFonts w:ascii="Tahoma" w:hAnsi="Tahoma" w:cs="Tahoma"/>
        </w:rPr>
      </w:pPr>
    </w:p>
    <w:p w14:paraId="50B95778" w14:textId="3D305FDD" w:rsidR="00767B63" w:rsidRPr="007E146D" w:rsidRDefault="00767B63" w:rsidP="00C267FD">
      <w:pPr>
        <w:pStyle w:val="ListParagraph"/>
        <w:numPr>
          <w:ilvl w:val="0"/>
          <w:numId w:val="31"/>
        </w:numPr>
        <w:ind w:left="1260"/>
      </w:pPr>
      <w:r>
        <w:rPr>
          <w:rFonts w:ascii="Tahoma" w:hAnsi="Tahoma" w:cs="Tahoma"/>
          <w:bCs/>
          <w:iCs/>
          <w:color w:val="000000"/>
        </w:rPr>
        <w:t>CAL per Servizi Desktop Remoto di Windows Server 2012</w:t>
      </w:r>
    </w:p>
    <w:p w14:paraId="2C1630A5" w14:textId="71FBA0CF" w:rsidR="00767B63" w:rsidRPr="007E146D" w:rsidRDefault="00767B63" w:rsidP="00C267FD">
      <w:pPr>
        <w:pStyle w:val="ListParagraph"/>
        <w:numPr>
          <w:ilvl w:val="0"/>
          <w:numId w:val="31"/>
        </w:numPr>
        <w:ind w:left="1260"/>
      </w:pPr>
      <w:r>
        <w:rPr>
          <w:rFonts w:ascii="Tahoma" w:hAnsi="Tahoma" w:cs="Tahoma"/>
          <w:bCs/>
          <w:iCs/>
          <w:color w:val="000000"/>
        </w:rPr>
        <w:t>CAL per Servizi Desktop Remoto di Windows Server 2008 R2 per le società che eseguono Windows Server 2008 o 2008 R2</w:t>
      </w:r>
    </w:p>
    <w:p w14:paraId="410F8644" w14:textId="77777777" w:rsidR="00767B63" w:rsidRPr="00E0035D" w:rsidRDefault="00767B63" w:rsidP="00C267FD">
      <w:pPr>
        <w:pStyle w:val="ListParagraph"/>
        <w:ind w:left="360"/>
        <w:rPr>
          <w:rFonts w:ascii="Tahoma" w:hAnsi="Tahoma" w:cs="Tahoma"/>
        </w:rPr>
      </w:pPr>
    </w:p>
    <w:p w14:paraId="16047B0B" w14:textId="5D55118C" w:rsidR="00767B63" w:rsidRPr="00E0035D" w:rsidRDefault="006A34DC" w:rsidP="00C267FD">
      <w:pPr>
        <w:pStyle w:val="ListParagraph"/>
        <w:ind w:left="360"/>
        <w:rPr>
          <w:rFonts w:ascii="Tahoma" w:hAnsi="Tahoma" w:cs="Tahoma"/>
        </w:rPr>
      </w:pPr>
      <w:r>
        <w:rPr>
          <w:rFonts w:ascii="Tahoma" w:hAnsi="Tahoma" w:cs="Tahoma"/>
        </w:rPr>
        <w:t>Il licenziatario NON potrà trasferire il software server Windows Server nell’ambito della Soluzione Unificata.</w:t>
      </w:r>
    </w:p>
    <w:p w14:paraId="6E67987B" w14:textId="77777777" w:rsidR="00767B63" w:rsidRPr="00E0035D" w:rsidRDefault="00767B63" w:rsidP="00C267FD">
      <w:pPr>
        <w:pStyle w:val="ListParagraph"/>
        <w:ind w:left="360"/>
        <w:rPr>
          <w:rFonts w:ascii="Tahoma" w:hAnsi="Tahoma" w:cs="Tahoma"/>
        </w:rPr>
      </w:pPr>
    </w:p>
    <w:p w14:paraId="22BB8D1B" w14:textId="7CA341C9" w:rsidR="00554191" w:rsidRPr="00E0035D" w:rsidRDefault="006A34DC" w:rsidP="00C267FD">
      <w:pPr>
        <w:ind w:left="360"/>
        <w:rPr>
          <w:rFonts w:ascii="Tahoma" w:hAnsi="Tahoma" w:cs="Tahoma"/>
        </w:rPr>
      </w:pPr>
      <w:r>
        <w:rPr>
          <w:rFonts w:ascii="Tahoma" w:hAnsi="Tahoma" w:cs="Tahoma"/>
        </w:rPr>
        <w:t xml:space="preserve">Il licenziatario potrà ottenere i Codici di Registrazione dei Prodotti per le versioni appropriate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0D0BB463" w14:textId="77777777" w:rsidR="00797681" w:rsidRPr="00E0035D" w:rsidRDefault="00797681" w:rsidP="00C267FD">
      <w:pPr>
        <w:pStyle w:val="ListParagraph"/>
        <w:ind w:left="360"/>
        <w:rPr>
          <w:rFonts w:ascii="Tahoma" w:hAnsi="Tahoma" w:cs="Tahoma"/>
        </w:rPr>
      </w:pPr>
    </w:p>
    <w:p w14:paraId="4E711EAB" w14:textId="7FB05F08" w:rsidR="00797681" w:rsidRPr="007E146D" w:rsidRDefault="00797681" w:rsidP="00C267FD">
      <w:pPr>
        <w:pStyle w:val="ListParagraph"/>
        <w:numPr>
          <w:ilvl w:val="0"/>
          <w:numId w:val="15"/>
        </w:numPr>
      </w:pPr>
      <w:r>
        <w:rPr>
          <w:rFonts w:ascii="Tahoma" w:hAnsi="Tahoma" w:cs="Tahoma"/>
          <w:b/>
        </w:rPr>
        <w:t>System Center 2012</w:t>
      </w:r>
      <w:r w:rsidR="003F6A91">
        <w:rPr>
          <w:rFonts w:ascii="Tahoma" w:hAnsi="Tahoma" w:cs="Tahoma"/>
          <w:b/>
        </w:rPr>
        <w:t>.</w:t>
      </w:r>
    </w:p>
    <w:p w14:paraId="64B2541F" w14:textId="77777777" w:rsidR="00797681" w:rsidRPr="00E0035D" w:rsidRDefault="00797681" w:rsidP="00C267FD">
      <w:pPr>
        <w:pStyle w:val="ListParagraph"/>
        <w:rPr>
          <w:rFonts w:ascii="Tahoma" w:hAnsi="Tahoma" w:cs="Tahoma"/>
        </w:rPr>
      </w:pPr>
    </w:p>
    <w:p w14:paraId="6460B818" w14:textId="234E1F31" w:rsidR="00797681" w:rsidRPr="007E146D" w:rsidRDefault="004709FD" w:rsidP="00C267FD">
      <w:pPr>
        <w:pStyle w:val="ListParagraph"/>
        <w:numPr>
          <w:ilvl w:val="0"/>
          <w:numId w:val="3"/>
        </w:numPr>
      </w:pPr>
      <w:r>
        <w:rPr>
          <w:rFonts w:ascii="Tahoma" w:hAnsi="Tahoma" w:cs="Tahoma"/>
        </w:rPr>
        <w:t>L’utilizzo di System Center 2012 per gestire gli OSE su un dispositivo o server con licenza richiede l’acquisizione e l’assegnazione sia della licenza System Center 2012 che di System Center Embedded Maintenance.</w:t>
      </w:r>
    </w:p>
    <w:p w14:paraId="22BB8D1C" w14:textId="77777777" w:rsidR="00554191" w:rsidRDefault="00554191" w:rsidP="00C267FD">
      <w:pPr>
        <w:pStyle w:val="ListParagraph"/>
        <w:ind w:left="0"/>
        <w:jc w:val="both"/>
      </w:pPr>
    </w:p>
    <w:p w14:paraId="3788FF96" w14:textId="77777777" w:rsidR="00845026" w:rsidRPr="007E146D" w:rsidRDefault="00845026" w:rsidP="00C267FD">
      <w:pPr>
        <w:pStyle w:val="ListParagraph"/>
        <w:ind w:left="0"/>
        <w:jc w:val="both"/>
      </w:pPr>
    </w:p>
    <w:p w14:paraId="22BB8D1E" w14:textId="03EA3511" w:rsidR="00CC3B64" w:rsidRPr="00BA1153" w:rsidRDefault="00CC3B64" w:rsidP="00BA1153">
      <w:pPr>
        <w:numPr>
          <w:ilvl w:val="0"/>
          <w:numId w:val="25"/>
        </w:numPr>
        <w:spacing w:before="120" w:after="20"/>
        <w:ind w:left="720"/>
        <w:rPr>
          <w:rFonts w:ascii="Tahoma" w:hAnsi="Tahoma" w:cs="Tahoma"/>
          <w:b/>
          <w:color w:val="FF6600"/>
          <w:sz w:val="24"/>
          <w:szCs w:val="24"/>
          <w:lang w:eastAsia="x-none"/>
        </w:rPr>
      </w:pPr>
      <w:r w:rsidRPr="00BA1153">
        <w:rPr>
          <w:rFonts w:ascii="Tahoma" w:hAnsi="Tahoma" w:cs="Tahoma"/>
          <w:b/>
          <w:color w:val="FF6600"/>
          <w:sz w:val="24"/>
          <w:szCs w:val="24"/>
        </w:rPr>
        <w:t>Download Elettronico</w:t>
      </w:r>
    </w:p>
    <w:p w14:paraId="22BB8D1F" w14:textId="54506CC9" w:rsidR="00CC3B64" w:rsidRPr="00E0035D" w:rsidRDefault="00BF48F5" w:rsidP="00C267FD">
      <w:pPr>
        <w:tabs>
          <w:tab w:val="left" w:pos="0"/>
        </w:tabs>
        <w:rPr>
          <w:rFonts w:ascii="Tahoma" w:hAnsi="Tahoma" w:cs="Tahoma"/>
        </w:rPr>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0" w14:textId="77777777" w:rsidR="00CC3B64" w:rsidRPr="007E146D" w:rsidRDefault="00CC3B64" w:rsidP="00C267FD">
      <w:pPr>
        <w:pStyle w:val="ListParagraph"/>
        <w:ind w:left="0"/>
      </w:pPr>
    </w:p>
    <w:p w14:paraId="22BB8D21" w14:textId="090D3CEC" w:rsidR="004C604E" w:rsidRPr="00E0035D" w:rsidRDefault="004C604E" w:rsidP="00C267FD">
      <w:pPr>
        <w:numPr>
          <w:ilvl w:val="4"/>
          <w:numId w:val="16"/>
        </w:numPr>
        <w:ind w:left="720"/>
        <w:rPr>
          <w:rFonts w:ascii="Tahoma" w:hAnsi="Tahoma" w:cs="Tahoma"/>
        </w:rPr>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E0035D" w:rsidRDefault="004C604E" w:rsidP="00C267FD">
      <w:pPr>
        <w:numPr>
          <w:ilvl w:val="4"/>
          <w:numId w:val="16"/>
        </w:numPr>
        <w:ind w:left="720"/>
        <w:rPr>
          <w:rFonts w:ascii="Tahoma" w:hAnsi="Tahoma" w:cs="Tahoma"/>
        </w:rPr>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E0035D" w:rsidRDefault="004C604E" w:rsidP="00C267FD">
      <w:pPr>
        <w:numPr>
          <w:ilvl w:val="4"/>
          <w:numId w:val="16"/>
        </w:numPr>
        <w:ind w:left="720"/>
        <w:rPr>
          <w:rFonts w:ascii="Tahoma" w:hAnsi="Tahoma" w:cs="Tahoma"/>
        </w:rPr>
      </w:pPr>
      <w:r>
        <w:rPr>
          <w:rFonts w:ascii="Tahoma" w:hAnsi="Tahoma" w:cs="Tahoma"/>
        </w:rPr>
        <w:t>Il licenziatario dovrà proteggere le pagine di download con almeno un certificato SSL a 128 bit o equivalente.</w:t>
      </w:r>
    </w:p>
    <w:p w14:paraId="22BB8D24" w14:textId="77777777" w:rsidR="00CC3B64" w:rsidRPr="00E0035D" w:rsidRDefault="004C604E" w:rsidP="00C267FD">
      <w:pPr>
        <w:numPr>
          <w:ilvl w:val="4"/>
          <w:numId w:val="16"/>
        </w:numPr>
        <w:ind w:left="720"/>
        <w:rPr>
          <w:rFonts w:ascii="Tahoma" w:hAnsi="Tahoma" w:cs="Tahoma"/>
        </w:rPr>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E0035D" w:rsidRDefault="004C604E" w:rsidP="00C267FD">
      <w:pPr>
        <w:pStyle w:val="ListParagraph"/>
        <w:numPr>
          <w:ilvl w:val="4"/>
          <w:numId w:val="16"/>
        </w:numPr>
        <w:ind w:left="720"/>
        <w:rPr>
          <w:rFonts w:ascii="Tahoma" w:hAnsi="Tahoma" w:cs="Tahoma"/>
        </w:rPr>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E0035D" w:rsidRDefault="004C604E" w:rsidP="00C267FD">
      <w:pPr>
        <w:pStyle w:val="ListParagraph"/>
        <w:numPr>
          <w:ilvl w:val="4"/>
          <w:numId w:val="16"/>
        </w:numPr>
        <w:ind w:left="720"/>
        <w:rPr>
          <w:rFonts w:ascii="Tahoma" w:hAnsi="Tahoma" w:cs="Tahoma"/>
        </w:rPr>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E0035D" w:rsidRDefault="004C604E" w:rsidP="00C267FD">
      <w:pPr>
        <w:pStyle w:val="ListParagraph"/>
        <w:numPr>
          <w:ilvl w:val="4"/>
          <w:numId w:val="16"/>
        </w:numPr>
        <w:ind w:left="720"/>
        <w:rPr>
          <w:rFonts w:ascii="Tahoma" w:hAnsi="Tahoma" w:cs="Tahoma"/>
        </w:rPr>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E0035D" w:rsidRDefault="00CC3B64" w:rsidP="00C267FD">
      <w:pPr>
        <w:numPr>
          <w:ilvl w:val="4"/>
          <w:numId w:val="16"/>
        </w:numPr>
        <w:ind w:left="720"/>
        <w:rPr>
          <w:rFonts w:ascii="Tahoma" w:hAnsi="Tahoma" w:cs="Tahoma"/>
        </w:rPr>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2BB8D29" w14:textId="77777777" w:rsidR="00EC223A" w:rsidRPr="00BA1153" w:rsidRDefault="00EC223A" w:rsidP="00C267FD">
      <w:pPr>
        <w:ind w:left="360"/>
        <w:rPr>
          <w:rFonts w:ascii="Tahoma" w:hAnsi="Tahoma" w:cs="Tahoma"/>
        </w:rPr>
      </w:pPr>
    </w:p>
    <w:p w14:paraId="321BE7FB" w14:textId="77777777" w:rsidR="00BA1153" w:rsidRPr="000C5051" w:rsidRDefault="0009289E" w:rsidP="00BA1153">
      <w:pPr>
        <w:numPr>
          <w:ilvl w:val="0"/>
          <w:numId w:val="25"/>
        </w:numPr>
        <w:spacing w:before="120" w:after="20"/>
        <w:ind w:left="720"/>
        <w:rPr>
          <w:rFonts w:ascii="Tahoma" w:hAnsi="Tahoma" w:cs="Tahoma"/>
          <w:b/>
          <w:color w:val="FF6600"/>
          <w:sz w:val="24"/>
          <w:szCs w:val="24"/>
          <w:lang w:eastAsia="x-none"/>
        </w:rPr>
      </w:pPr>
      <w:r w:rsidRPr="00BA1153">
        <w:rPr>
          <w:rFonts w:ascii="Tahoma" w:hAnsi="Tahoma" w:cs="Tahoma"/>
          <w:b/>
          <w:color w:val="FF6600"/>
          <w:sz w:val="24"/>
          <w:szCs w:val="24"/>
        </w:rPr>
        <w:t>Concessioni per la Migrazione dei Prodotti</w:t>
      </w:r>
    </w:p>
    <w:p w14:paraId="22BB8D2D" w14:textId="6433CBBC" w:rsidR="00830ED6" w:rsidRPr="007E146D" w:rsidRDefault="00F77BD0" w:rsidP="00BA1153">
      <w:pPr>
        <w:spacing w:before="120" w:after="20"/>
      </w:pPr>
      <w:r w:rsidRPr="00BA1153">
        <w:rPr>
          <w:rFonts w:ascii="Tahoma" w:hAnsi="Tahoma" w:cs="Tahoma"/>
          <w:b/>
          <w:bCs/>
          <w:iCs/>
        </w:rPr>
        <w:t>Concessioni per la Migrazione dei Prodotti con la Manutenzione Evolutiva</w:t>
      </w:r>
      <w:r w:rsidRPr="00BA1153">
        <w:rPr>
          <w:rFonts w:ascii="Tahoma" w:hAnsi="Tahoma" w:cs="Tahoma"/>
          <w:b/>
          <w:bCs/>
        </w:rPr>
        <w:t>.</w:t>
      </w:r>
      <w:r w:rsidRPr="00BA1153">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E0035D" w:rsidRDefault="00830ED6" w:rsidP="00C267FD">
      <w:pPr>
        <w:spacing w:before="120" w:after="120"/>
        <w:jc w:val="both"/>
        <w:rPr>
          <w:rFonts w:ascii="Tahoma" w:hAnsi="Tahoma" w:cs="Tahoma"/>
        </w:rPr>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0035D" w:rsidRDefault="000E36EC" w:rsidP="00C267FD">
      <w:pPr>
        <w:pStyle w:val="ListParagraph"/>
        <w:numPr>
          <w:ilvl w:val="0"/>
          <w:numId w:val="3"/>
        </w:numPr>
        <w:spacing w:before="120" w:after="120"/>
        <w:jc w:val="both"/>
        <w:rPr>
          <w:rFonts w:ascii="Tahoma" w:hAnsi="Tahoma" w:cs="Tahoma"/>
        </w:rPr>
      </w:pPr>
      <w:r>
        <w:rPr>
          <w:rFonts w:ascii="Tahoma" w:hAnsi="Tahoma" w:cs="Tahoma"/>
        </w:rPr>
        <w:t>la Licenza Qualificante è la licenza software con Embedded Maintenance;</w:t>
      </w:r>
    </w:p>
    <w:p w14:paraId="22BB8D2F" w14:textId="632EFB2F" w:rsidR="00830ED6" w:rsidRPr="00E0035D" w:rsidRDefault="000E36EC" w:rsidP="00C267FD">
      <w:pPr>
        <w:pStyle w:val="ListParagraph"/>
        <w:numPr>
          <w:ilvl w:val="0"/>
          <w:numId w:val="3"/>
        </w:numPr>
        <w:spacing w:before="120" w:after="120"/>
        <w:jc w:val="both"/>
        <w:rPr>
          <w:rFonts w:ascii="Tahoma" w:hAnsi="Tahoma" w:cs="Tahoma"/>
        </w:rPr>
      </w:pPr>
      <w:r>
        <w:rPr>
          <w:rFonts w:ascii="Tahoma" w:hAnsi="Tahoma" w:cs="Tahoma"/>
        </w:rPr>
        <w:t>la Licenza Idonea è la licenza software che può essere distribuita con una Soluzione Unificata aggiornata.</w:t>
      </w:r>
    </w:p>
    <w:p w14:paraId="705F09D4" w14:textId="77777777" w:rsidR="00B83983" w:rsidRPr="00BA1153" w:rsidRDefault="00B83983" w:rsidP="00C267FD">
      <w:pPr>
        <w:spacing w:before="120" w:after="120"/>
        <w:jc w:val="both"/>
        <w:rPr>
          <w:rFonts w:ascii="Tahoma" w:hAnsi="Tahoma" w:cs="Tahoma"/>
        </w:rPr>
      </w:pPr>
    </w:p>
    <w:p w14:paraId="265D81F6" w14:textId="3895D675" w:rsidR="00B83983" w:rsidRPr="007E146D" w:rsidRDefault="00B83983" w:rsidP="00C267FD">
      <w:pPr>
        <w:spacing w:before="120" w:after="120"/>
        <w:jc w:val="both"/>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E0035D" w:rsidRDefault="000B6B47" w:rsidP="00C267FD">
      <w:pPr>
        <w:spacing w:before="120" w:after="120"/>
        <w:jc w:val="both"/>
        <w:rPr>
          <w:rFonts w:ascii="Tahoma" w:hAnsi="Tahoma" w:cs="Tahoma"/>
        </w:rPr>
      </w:pPr>
      <w:r>
        <w:rPr>
          <w:rFonts w:ascii="Tahoma" w:hAnsi="Tahoma" w:cs="Tahoma"/>
          <w:sz w:val="16"/>
          <w:szCs w:val="16"/>
        </w:rPr>
        <w:t>Le società con Utenti Finali coperti da licenze per Processore attive per BizTalk Server potranno aggiornare la Soluzione Unificata degli Utenti Finali al fine di includere BizTalk Server 2013 in base al rapporto processore-core che segue.</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Quattro (4) per BizTalk Server 2013 Enterprise Core</w:t>
            </w:r>
            <w:r>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Quattro (4) per BizTalk Server 2013 Standard Core</w:t>
            </w:r>
            <w:r>
              <w:rPr>
                <w:rFonts w:ascii="Tahoma" w:hAnsi="Tahoma" w:cs="Tahoma"/>
                <w:bCs/>
                <w:sz w:val="16"/>
                <w:szCs w:val="19"/>
                <w:vertAlign w:val="superscript"/>
              </w:rPr>
              <w:t>1,2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Quattro (4) per BizTalk Server 2013 Branch Core</w:t>
            </w:r>
            <w:r>
              <w:rPr>
                <w:rFonts w:ascii="Tahoma" w:hAnsi="Tahoma" w:cs="Tahoma"/>
                <w:bCs/>
                <w:sz w:val="16"/>
                <w:szCs w:val="19"/>
                <w:vertAlign w:val="superscript"/>
              </w:rPr>
              <w:t>1,2</w:t>
            </w:r>
          </w:p>
        </w:tc>
      </w:tr>
    </w:tbl>
    <w:p w14:paraId="0592752E" w14:textId="7924F677" w:rsidR="00B83983" w:rsidRPr="00E0035D" w:rsidRDefault="00B83983" w:rsidP="00C267FD">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Embedded Maintenance, utilizzando lo strumento Microsoft MAP o software equivalente che consenta la registrazione dei diritti concessi in licenza.</w:t>
      </w:r>
    </w:p>
    <w:p w14:paraId="5EA624E0" w14:textId="1A101EE8" w:rsidR="00B83983" w:rsidRPr="00E0035D" w:rsidRDefault="00B83983" w:rsidP="00C267FD">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2141478B" w14:textId="77777777" w:rsidR="000B6B47" w:rsidRPr="00E0035D" w:rsidRDefault="000B6B47" w:rsidP="000B6B47">
      <w:pPr>
        <w:rPr>
          <w:rFonts w:ascii="Tahoma" w:hAnsi="Tahoma" w:cs="Tahoma"/>
        </w:rPr>
      </w:pPr>
    </w:p>
    <w:p w14:paraId="6387FD31" w14:textId="60625BF6" w:rsidR="000B6B47" w:rsidRPr="00E0035D" w:rsidRDefault="000B6B47" w:rsidP="000B6B47">
      <w:pPr>
        <w:rPr>
          <w:rFonts w:ascii="Tahoma" w:hAnsi="Tahoma" w:cs="Tahoma"/>
        </w:rPr>
      </w:pPr>
      <w:r>
        <w:rPr>
          <w:rFonts w:ascii="Tahoma" w:hAnsi="Tahoma" w:cs="Tahoma"/>
          <w:sz w:val="16"/>
          <w:szCs w:val="16"/>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p w14:paraId="730938FC" w14:textId="77777777" w:rsidR="000B6B47" w:rsidRPr="00E0035D" w:rsidRDefault="000B6B47" w:rsidP="000B6B47">
      <w:pPr>
        <w:rPr>
          <w:rFonts w:ascii="Tahoma" w:hAnsi="Tahoma" w:cs="Tahoma"/>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B6B47" w:rsidRPr="00D549E9" w14:paraId="0F14A2CC"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206E89" w14:paraId="1304B83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8F4C47" w14:paraId="6B37E037"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206E89" w14:paraId="65FBD9A4"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7E146D" w:rsidRDefault="000B6B47" w:rsidP="00C267FD">
      <w:pPr>
        <w:jc w:val="both"/>
      </w:pPr>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6959C5D1" w14:textId="77777777" w:rsidR="003331FA" w:rsidRPr="00E0035D" w:rsidRDefault="003331FA" w:rsidP="003331FA">
      <w:pPr>
        <w:jc w:val="both"/>
        <w:rPr>
          <w:rFonts w:ascii="Tahoma" w:hAnsi="Tahoma" w:cs="Tahoma"/>
        </w:rPr>
      </w:pPr>
    </w:p>
    <w:p w14:paraId="2B78C56C" w14:textId="77777777" w:rsidR="008037CA" w:rsidRPr="00D22203" w:rsidRDefault="008037CA" w:rsidP="008037CA">
      <w:pPr>
        <w:jc w:val="both"/>
        <w:rPr>
          <w:rFonts w:ascii="Tahoma" w:hAnsi="Tahoma" w:cs="Tahoma"/>
        </w:rPr>
      </w:pPr>
    </w:p>
    <w:p w14:paraId="533A9281" w14:textId="77777777" w:rsidR="008037CA" w:rsidRPr="00D22203" w:rsidRDefault="008037CA" w:rsidP="008037CA">
      <w:pPr>
        <w:jc w:val="both"/>
        <w:rPr>
          <w:rFonts w:ascii="Tahoma" w:hAnsi="Tahoma" w:cs="Tahoma"/>
        </w:rPr>
      </w:pPr>
      <w:r w:rsidRPr="00D22203">
        <w:rPr>
          <w:rFonts w:ascii="Tahoma" w:hAnsi="Tahoma" w:cs="Tahoma"/>
          <w:b/>
        </w:rPr>
        <w:t>Lync Server 2013</w:t>
      </w:r>
    </w:p>
    <w:p w14:paraId="091349A4" w14:textId="77777777" w:rsidR="008037CA" w:rsidRPr="00D22203" w:rsidRDefault="008037CA" w:rsidP="008037CA">
      <w:pPr>
        <w:rPr>
          <w:rFonts w:ascii="Tahoma" w:hAnsi="Tahoma" w:cs="Tahoma"/>
        </w:rPr>
      </w:pPr>
      <w:r w:rsidRPr="00D22203">
        <w:rPr>
          <w:rFonts w:ascii="Tahoma" w:hAnsi="Tahoma" w:cs="Tahoma"/>
          <w:color w:val="000000"/>
          <w:sz w:val="16"/>
          <w:szCs w:val="16"/>
        </w:rPr>
        <w:t>Lync Server 2013 è l</w:t>
      </w:r>
      <w:r>
        <w:rPr>
          <w:rFonts w:ascii="Tahoma" w:hAnsi="Tahoma" w:cs="Tahoma"/>
          <w:color w:val="000000"/>
          <w:sz w:val="16"/>
          <w:szCs w:val="16"/>
        </w:rPr>
        <w:t>’</w:t>
      </w:r>
      <w:r w:rsidRPr="00D22203">
        <w:rPr>
          <w:rFonts w:ascii="Tahoma" w:hAnsi="Tahoma" w:cs="Tahoma"/>
          <w:color w:val="000000"/>
          <w:sz w:val="16"/>
          <w:szCs w:val="16"/>
        </w:rPr>
        <w:t xml:space="preserve">ultima versione di Lync Server. Le società con </w:t>
      </w:r>
      <w:r w:rsidRPr="00D22203">
        <w:rPr>
          <w:rFonts w:ascii="Tahoma" w:hAnsi="Tahoma" w:cs="Tahoma"/>
          <w:sz w:val="16"/>
          <w:szCs w:val="16"/>
        </w:rPr>
        <w:t xml:space="preserve">Manutenzione Evolutiva </w:t>
      </w:r>
      <w:r w:rsidRPr="00D22203">
        <w:rPr>
          <w:rFonts w:ascii="Tahoma" w:hAnsi="Tahoma" w:cs="Tahoma"/>
          <w:color w:val="000000"/>
          <w:sz w:val="16"/>
          <w:szCs w:val="16"/>
        </w:rPr>
        <w:t>attiva per Lync Server 2010 Standard o Enterprise potranno eseguire l</w:t>
      </w:r>
      <w:r>
        <w:rPr>
          <w:rFonts w:ascii="Tahoma" w:hAnsi="Tahoma" w:cs="Tahoma"/>
          <w:color w:val="000000"/>
          <w:sz w:val="16"/>
          <w:szCs w:val="16"/>
        </w:rPr>
        <w:t>’</w:t>
      </w:r>
      <w:r w:rsidRPr="00D22203">
        <w:rPr>
          <w:rFonts w:ascii="Tahoma" w:hAnsi="Tahoma" w:cs="Tahoma"/>
          <w:color w:val="000000"/>
          <w:sz w:val="16"/>
          <w:szCs w:val="16"/>
        </w:rPr>
        <w:t>aggiornamento a Lync Server 2013 e distribuire questo prodotto al posto delle copie con licenza di Lync Server 2010 che sono integrate in una Soluzione Unificata aggiornata.</w:t>
      </w:r>
    </w:p>
    <w:p w14:paraId="43FCC5D6" w14:textId="77777777" w:rsidR="008037CA" w:rsidRPr="00D22203" w:rsidRDefault="008037CA" w:rsidP="008037CA">
      <w:pPr>
        <w:rPr>
          <w:rFonts w:ascii="Tahoma" w:hAnsi="Tahoma" w:cs="Tahoma"/>
        </w:rPr>
      </w:pPr>
    </w:p>
    <w:p w14:paraId="533E717E" w14:textId="77777777" w:rsidR="008037CA" w:rsidRPr="00D22203" w:rsidRDefault="008037CA" w:rsidP="008037CA">
      <w:pPr>
        <w:rPr>
          <w:rFonts w:ascii="Tahoma" w:hAnsi="Tahoma" w:cs="Tahoma"/>
        </w:rPr>
      </w:pPr>
      <w:r w:rsidRPr="00D22203">
        <w:rPr>
          <w:rFonts w:ascii="Tahoma" w:hAnsi="Tahoma" w:cs="Tahoma"/>
          <w:color w:val="000000"/>
          <w:sz w:val="16"/>
          <w:szCs w:val="16"/>
        </w:rPr>
        <w:t>Le licenze CAL per Lync Server 2013 sono le versioni successive delle licenze CAL per Lync Server 2010.</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8037CA" w:rsidRPr="00D22203" w14:paraId="0A6AB481"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1D94C4F2" w14:textId="77777777" w:rsidR="008037CA" w:rsidRPr="00D22203" w:rsidRDefault="008037CA" w:rsidP="009D3E1A">
            <w:pPr>
              <w:jc w:val="center"/>
              <w:rPr>
                <w:rFonts w:ascii="Tahoma" w:hAnsi="Tahoma" w:cs="Tahoma"/>
                <w:b/>
                <w:bCs/>
                <w:iCs/>
                <w:sz w:val="18"/>
                <w:szCs w:val="18"/>
              </w:rPr>
            </w:pPr>
            <w:r w:rsidRPr="00D22203">
              <w:rPr>
                <w:rFonts w:ascii="Tahoma" w:hAnsi="Tahoma" w:cs="Tahoma"/>
                <w:b/>
                <w:bCs/>
                <w:iCs/>
                <w:sz w:val="18"/>
                <w:szCs w:val="18"/>
              </w:rPr>
              <w:t>Licenza CAL per Lync Server 2010</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6F54270B" w14:textId="77777777" w:rsidR="008037CA" w:rsidRPr="00D22203" w:rsidRDefault="008037CA" w:rsidP="009D3E1A">
            <w:pPr>
              <w:jc w:val="center"/>
              <w:rPr>
                <w:rFonts w:ascii="Tahoma" w:hAnsi="Tahoma" w:cs="Tahoma"/>
              </w:rPr>
            </w:pPr>
            <w:r w:rsidRPr="00D22203">
              <w:rPr>
                <w:rFonts w:ascii="Tahoma" w:hAnsi="Tahoma" w:cs="Tahoma"/>
                <w:b/>
                <w:bCs/>
                <w:iCs/>
                <w:sz w:val="18"/>
                <w:szCs w:val="18"/>
              </w:rPr>
              <w:t>Versione Successiva</w:t>
            </w:r>
          </w:p>
        </w:tc>
      </w:tr>
      <w:tr w:rsidR="008037CA" w:rsidRPr="00060F6A" w14:paraId="5F902BEF"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A9B74BB" w14:textId="77777777" w:rsidR="008037CA" w:rsidRPr="00D22203" w:rsidRDefault="008037CA" w:rsidP="009D3E1A">
            <w:pPr>
              <w:rPr>
                <w:rFonts w:ascii="Tahoma" w:hAnsi="Tahoma" w:cs="Tahoma"/>
                <w:bCs/>
                <w:sz w:val="16"/>
                <w:szCs w:val="19"/>
                <w:lang w:val="fr-FR"/>
              </w:rPr>
            </w:pPr>
            <w:r w:rsidRPr="00D22203">
              <w:rPr>
                <w:rFonts w:ascii="Tahoma" w:hAnsi="Tahoma" w:cs="Tahoma"/>
                <w:bCs/>
                <w:sz w:val="16"/>
                <w:szCs w:val="19"/>
                <w:lang w:val="fr-FR"/>
              </w:rPr>
              <w:t xml:space="preserve">Plus CAL per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78DA08CA" w14:textId="77777777" w:rsidR="008037CA" w:rsidRPr="00D22203" w:rsidRDefault="008037CA" w:rsidP="009D3E1A">
            <w:pPr>
              <w:rPr>
                <w:rFonts w:ascii="Tahoma" w:hAnsi="Tahoma" w:cs="Tahoma"/>
                <w:bCs/>
                <w:sz w:val="16"/>
                <w:szCs w:val="19"/>
                <w:lang w:val="fr-FR"/>
              </w:rPr>
            </w:pPr>
            <w:r w:rsidRPr="00D22203">
              <w:rPr>
                <w:rFonts w:ascii="Tahoma" w:hAnsi="Tahoma" w:cs="Tahoma"/>
                <w:bCs/>
                <w:sz w:val="16"/>
                <w:szCs w:val="19"/>
                <w:lang w:val="fr-FR"/>
              </w:rPr>
              <w:t>Plus CAL per Lync Server 2013</w:t>
            </w:r>
          </w:p>
        </w:tc>
      </w:tr>
      <w:tr w:rsidR="008037CA" w:rsidRPr="00D22203" w14:paraId="17F4D4F6"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F26816" w14:textId="77777777" w:rsidR="008037CA" w:rsidRPr="00D22203" w:rsidRDefault="008037CA" w:rsidP="009D3E1A">
            <w:pPr>
              <w:rPr>
                <w:rFonts w:ascii="Tahoma" w:hAnsi="Tahoma" w:cs="Tahoma"/>
                <w:bCs/>
                <w:sz w:val="16"/>
                <w:szCs w:val="19"/>
                <w:lang w:val="pt-BR"/>
              </w:rPr>
            </w:pPr>
            <w:r w:rsidRPr="00D22203">
              <w:rPr>
                <w:rFonts w:ascii="Tahoma" w:hAnsi="Tahoma" w:cs="Tahoma"/>
                <w:bCs/>
                <w:sz w:val="16"/>
                <w:szCs w:val="19"/>
              </w:rPr>
              <w:t xml:space="preserve">Enterprise CAL per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468FDBEC" w14:textId="77777777" w:rsidR="008037CA" w:rsidRPr="00D22203" w:rsidRDefault="008037CA" w:rsidP="009D3E1A">
            <w:pPr>
              <w:rPr>
                <w:rFonts w:ascii="Tahoma" w:hAnsi="Tahoma" w:cs="Tahoma"/>
                <w:bCs/>
                <w:sz w:val="16"/>
                <w:szCs w:val="19"/>
                <w:lang w:val="pt-BR"/>
              </w:rPr>
            </w:pPr>
            <w:r w:rsidRPr="00D22203">
              <w:rPr>
                <w:rFonts w:ascii="Tahoma" w:hAnsi="Tahoma" w:cs="Tahoma"/>
                <w:bCs/>
                <w:sz w:val="16"/>
                <w:szCs w:val="19"/>
              </w:rPr>
              <w:t>Enterprise CAL per Lync Server 2013</w:t>
            </w:r>
          </w:p>
        </w:tc>
      </w:tr>
      <w:tr w:rsidR="008037CA" w:rsidRPr="00D22203" w14:paraId="117D1B68"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69AAE3F" w14:textId="77777777" w:rsidR="008037CA" w:rsidRPr="00D22203" w:rsidRDefault="008037CA" w:rsidP="009D3E1A">
            <w:pPr>
              <w:rPr>
                <w:rFonts w:ascii="Tahoma" w:hAnsi="Tahoma" w:cs="Tahoma"/>
                <w:bCs/>
                <w:sz w:val="16"/>
                <w:szCs w:val="19"/>
                <w:lang w:val="pt-BR"/>
              </w:rPr>
            </w:pPr>
            <w:r w:rsidRPr="00D22203">
              <w:rPr>
                <w:rFonts w:ascii="Tahoma" w:hAnsi="Tahoma" w:cs="Tahoma"/>
                <w:bCs/>
                <w:sz w:val="16"/>
                <w:szCs w:val="19"/>
              </w:rPr>
              <w:t xml:space="preserve">Standard CAL per Lync Server 2010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71B684D" w14:textId="77777777" w:rsidR="008037CA" w:rsidRPr="00D22203" w:rsidRDefault="008037CA" w:rsidP="009D3E1A">
            <w:pPr>
              <w:rPr>
                <w:rFonts w:ascii="Tahoma" w:hAnsi="Tahoma" w:cs="Tahoma"/>
                <w:bCs/>
                <w:sz w:val="16"/>
                <w:szCs w:val="19"/>
                <w:lang w:val="pt-BR"/>
              </w:rPr>
            </w:pPr>
            <w:r w:rsidRPr="00D22203">
              <w:rPr>
                <w:rFonts w:ascii="Tahoma" w:hAnsi="Tahoma" w:cs="Tahoma"/>
                <w:bCs/>
                <w:sz w:val="16"/>
                <w:szCs w:val="19"/>
              </w:rPr>
              <w:t>Standard CAL per Lync Server 2013</w:t>
            </w:r>
          </w:p>
        </w:tc>
      </w:tr>
    </w:tbl>
    <w:p w14:paraId="0791188F" w14:textId="77777777" w:rsidR="008037CA" w:rsidRPr="00D22203" w:rsidRDefault="008037CA" w:rsidP="008037CA">
      <w:pPr>
        <w:rPr>
          <w:rFonts w:ascii="Tahoma" w:hAnsi="Tahoma" w:cs="Tahoma"/>
        </w:rPr>
      </w:pPr>
    </w:p>
    <w:p w14:paraId="6467ED21" w14:textId="77777777" w:rsidR="008037CA" w:rsidRPr="00D22203" w:rsidRDefault="008037CA" w:rsidP="008037CA">
      <w:pPr>
        <w:rPr>
          <w:rFonts w:ascii="Tahoma" w:hAnsi="Tahoma" w:cs="Tahoma"/>
        </w:rPr>
      </w:pPr>
      <w:r w:rsidRPr="00D22203">
        <w:rPr>
          <w:rFonts w:ascii="Tahoma" w:hAnsi="Tahoma" w:cs="Tahoma"/>
          <w:color w:val="000000"/>
          <w:sz w:val="16"/>
          <w:szCs w:val="16"/>
        </w:rPr>
        <w:t>La Licenza per Lync Server 2013 è la versione successiva sia della Licenza Server Standard che Enterprise per Lync Server 2010</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8037CA" w:rsidRPr="00D22203" w14:paraId="224F0810" w14:textId="77777777" w:rsidTr="009D3E1A">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200FA43" w14:textId="77777777" w:rsidR="008037CA" w:rsidRPr="00D22203" w:rsidRDefault="008037CA" w:rsidP="009D3E1A">
            <w:pPr>
              <w:jc w:val="center"/>
              <w:rPr>
                <w:rFonts w:ascii="Tahoma" w:hAnsi="Tahoma" w:cs="Tahoma"/>
                <w:b/>
                <w:bCs/>
                <w:iCs/>
                <w:sz w:val="18"/>
                <w:szCs w:val="18"/>
              </w:rPr>
            </w:pPr>
            <w:r w:rsidRPr="00D22203">
              <w:rPr>
                <w:rFonts w:ascii="Tahoma" w:hAnsi="Tahoma" w:cs="Tahoma"/>
                <w:b/>
                <w:bCs/>
                <w:iCs/>
                <w:sz w:val="18"/>
                <w:szCs w:val="18"/>
              </w:rPr>
              <w:t>Licenza Server per Lync Server 2010</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7A8D85B2" w14:textId="77777777" w:rsidR="008037CA" w:rsidRPr="00D22203" w:rsidRDefault="008037CA" w:rsidP="009D3E1A">
            <w:pPr>
              <w:jc w:val="center"/>
              <w:rPr>
                <w:rFonts w:ascii="Tahoma" w:hAnsi="Tahoma" w:cs="Tahoma"/>
              </w:rPr>
            </w:pPr>
            <w:r w:rsidRPr="00D22203">
              <w:rPr>
                <w:rFonts w:ascii="Tahoma" w:hAnsi="Tahoma" w:cs="Tahoma"/>
                <w:b/>
                <w:bCs/>
                <w:iCs/>
                <w:sz w:val="18"/>
                <w:szCs w:val="18"/>
              </w:rPr>
              <w:t>Versione Successiva</w:t>
            </w:r>
          </w:p>
        </w:tc>
      </w:tr>
      <w:tr w:rsidR="008037CA" w:rsidRPr="00D22203" w14:paraId="5D0338F2" w14:textId="77777777" w:rsidTr="009D3E1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CF504BC" w14:textId="77777777" w:rsidR="008037CA" w:rsidRPr="00D22203" w:rsidRDefault="008037CA" w:rsidP="009D3E1A">
            <w:pPr>
              <w:rPr>
                <w:rFonts w:ascii="Tahoma" w:hAnsi="Tahoma" w:cs="Tahoma"/>
                <w:bCs/>
                <w:sz w:val="16"/>
                <w:szCs w:val="19"/>
                <w:lang w:val="pt-BR"/>
              </w:rPr>
            </w:pPr>
            <w:r w:rsidRPr="00D22203">
              <w:rPr>
                <w:rFonts w:ascii="Tahoma" w:hAnsi="Tahoma" w:cs="Tahoma"/>
                <w:bCs/>
                <w:sz w:val="16"/>
                <w:szCs w:val="19"/>
              </w:rPr>
              <w:t xml:space="preserve">Lync Server 2010 Standard </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6EC37F9A" w14:textId="77777777" w:rsidR="008037CA" w:rsidRPr="00D22203" w:rsidRDefault="008037CA" w:rsidP="009D3E1A">
            <w:pPr>
              <w:rPr>
                <w:rFonts w:ascii="Tahoma" w:hAnsi="Tahoma" w:cs="Tahoma"/>
                <w:bCs/>
                <w:sz w:val="16"/>
                <w:szCs w:val="19"/>
                <w:lang w:val="pt-BR"/>
              </w:rPr>
            </w:pPr>
            <w:r w:rsidRPr="00D22203">
              <w:rPr>
                <w:rFonts w:ascii="Tahoma" w:hAnsi="Tahoma" w:cs="Tahoma"/>
                <w:bCs/>
                <w:sz w:val="16"/>
                <w:szCs w:val="19"/>
              </w:rPr>
              <w:t>Lync Server 2013</w:t>
            </w:r>
          </w:p>
        </w:tc>
      </w:tr>
      <w:tr w:rsidR="008037CA" w:rsidRPr="00D22203" w14:paraId="2412EE1A" w14:textId="77777777" w:rsidTr="009D3E1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FAC7B72" w14:textId="77777777" w:rsidR="008037CA" w:rsidRPr="00D22203" w:rsidRDefault="008037CA" w:rsidP="009D3E1A">
            <w:pPr>
              <w:rPr>
                <w:rFonts w:ascii="Tahoma" w:hAnsi="Tahoma" w:cs="Tahoma"/>
                <w:bCs/>
                <w:sz w:val="16"/>
                <w:szCs w:val="19"/>
                <w:lang w:val="pt-BR"/>
              </w:rPr>
            </w:pPr>
            <w:r w:rsidRPr="00D22203">
              <w:rPr>
                <w:rFonts w:ascii="Tahoma" w:hAnsi="Tahoma" w:cs="Tahoma"/>
                <w:bCs/>
                <w:sz w:val="16"/>
                <w:szCs w:val="19"/>
              </w:rPr>
              <w:t>Lync Server 2010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7708B4F4" w14:textId="77777777" w:rsidR="008037CA" w:rsidRPr="00D22203" w:rsidRDefault="008037CA" w:rsidP="009D3E1A">
            <w:pPr>
              <w:rPr>
                <w:rFonts w:ascii="Tahoma" w:hAnsi="Tahoma" w:cs="Tahoma"/>
                <w:bCs/>
                <w:sz w:val="16"/>
                <w:szCs w:val="19"/>
                <w:lang w:val="pt-BR"/>
              </w:rPr>
            </w:pPr>
            <w:r w:rsidRPr="00D22203">
              <w:rPr>
                <w:rFonts w:ascii="Tahoma" w:hAnsi="Tahoma" w:cs="Tahoma"/>
                <w:bCs/>
                <w:sz w:val="16"/>
                <w:szCs w:val="19"/>
              </w:rPr>
              <w:t>Lync Server 2013</w:t>
            </w:r>
          </w:p>
        </w:tc>
      </w:tr>
    </w:tbl>
    <w:p w14:paraId="05451FDC" w14:textId="77777777" w:rsidR="008037CA" w:rsidRPr="00D22203" w:rsidRDefault="008037CA" w:rsidP="008037CA">
      <w:pPr>
        <w:spacing w:before="120" w:after="120"/>
        <w:jc w:val="both"/>
        <w:rPr>
          <w:rFonts w:ascii="Tahoma" w:hAnsi="Tahoma" w:cs="Tahoma"/>
        </w:rPr>
      </w:pPr>
    </w:p>
    <w:p w14:paraId="0650037E" w14:textId="3406C190" w:rsidR="003331FA" w:rsidRPr="007E146D" w:rsidRDefault="003331FA" w:rsidP="003331FA">
      <w:pPr>
        <w:spacing w:before="120" w:after="120"/>
        <w:jc w:val="both"/>
      </w:pPr>
      <w:r>
        <w:rPr>
          <w:rFonts w:ascii="Tahoma" w:hAnsi="Tahoma" w:cs="Tahoma"/>
          <w:b/>
          <w:color w:val="000000" w:themeColor="text1"/>
        </w:rPr>
        <w:t>Microsoft Dynamics CRM 2015 e versioni precedenti</w:t>
      </w:r>
    </w:p>
    <w:p w14:paraId="5699837F" w14:textId="5A567F45" w:rsidR="00BD41AF" w:rsidRPr="00E0035D" w:rsidRDefault="003331FA" w:rsidP="00BD41AF">
      <w:pPr>
        <w:rPr>
          <w:rFonts w:ascii="Tahoma" w:hAnsi="Tahoma" w:cs="Tahoma"/>
        </w:rPr>
      </w:pPr>
      <w:r>
        <w:rPr>
          <w:rFonts w:ascii="Tahoma" w:hAnsi="Tahoma" w:cs="Tahoma"/>
          <w:sz w:val="16"/>
          <w:szCs w:val="16"/>
        </w:rPr>
        <w:t xml:space="preserve">Le società con Utenti Finali coperti da licenze attive per Embedded Maintenance per </w:t>
      </w:r>
      <w:r>
        <w:rPr>
          <w:rFonts w:ascii="Tahoma" w:hAnsi="Tahoma" w:cs="Tahoma"/>
          <w:color w:val="000000"/>
          <w:sz w:val="16"/>
          <w:szCs w:val="16"/>
        </w:rPr>
        <w:t xml:space="preserve">Microsoft Dynamics CRM 2011 o versioni precedenti potranno eseguire l’aggiornamento a Microsoft Dynamics 2013/2015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p w14:paraId="46A29F5D" w14:textId="77777777" w:rsidR="003331FA" w:rsidRPr="007E146D" w:rsidRDefault="003331FA" w:rsidP="003331FA">
      <w:pPr>
        <w:pStyle w:val="Heading3Bold"/>
        <w:numPr>
          <w:ilvl w:val="0"/>
          <w:numId w:val="0"/>
        </w:numPr>
        <w:tabs>
          <w:tab w:val="left" w:pos="720"/>
        </w:tabs>
        <w:spacing w:before="0" w:after="0"/>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040"/>
        <w:gridCol w:w="5788"/>
      </w:tblGrid>
      <w:tr w:rsidR="003331FA" w:rsidRPr="003331FA" w14:paraId="725FFB7A" w14:textId="77777777" w:rsidTr="00DE344C">
        <w:trPr>
          <w:tblHeader/>
        </w:trPr>
        <w:tc>
          <w:tcPr>
            <w:tcW w:w="5040"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Licenza Qualificante</w:t>
            </w:r>
          </w:p>
        </w:tc>
        <w:tc>
          <w:tcPr>
            <w:tcW w:w="5788"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Licenza Idonea</w:t>
            </w:r>
          </w:p>
        </w:tc>
      </w:tr>
      <w:tr w:rsidR="003331FA" w:rsidRPr="003331FA" w14:paraId="077DAE91" w14:textId="77777777" w:rsidTr="00DE344C">
        <w:tc>
          <w:tcPr>
            <w:tcW w:w="5040" w:type="dxa"/>
            <w:tcMar>
              <w:top w:w="0" w:type="dxa"/>
              <w:left w:w="108" w:type="dxa"/>
              <w:bottom w:w="0" w:type="dxa"/>
              <w:right w:w="108" w:type="dxa"/>
            </w:tcMar>
            <w:hideMark/>
          </w:tcPr>
          <w:p w14:paraId="673F7858" w14:textId="77777777" w:rsidR="003331FA" w:rsidRPr="007E146D" w:rsidRDefault="003331FA" w:rsidP="003331FA">
            <w:r>
              <w:rPr>
                <w:rFonts w:ascii="Tahoma" w:hAnsi="Tahoma" w:cs="Tahoma"/>
                <w:color w:val="000000"/>
                <w:sz w:val="16"/>
                <w:szCs w:val="16"/>
              </w:rPr>
              <w:t>Una (1) Employee Self Service CAL per Microsoft Dynamics CRM 2011</w:t>
            </w:r>
          </w:p>
          <w:p w14:paraId="08F8C015" w14:textId="77777777" w:rsidR="003331FA" w:rsidRPr="003331FA" w:rsidRDefault="003331FA" w:rsidP="003331FA">
            <w:pPr>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788" w:type="dxa"/>
            <w:tcMar>
              <w:top w:w="0" w:type="dxa"/>
              <w:left w:w="108" w:type="dxa"/>
              <w:bottom w:w="0" w:type="dxa"/>
              <w:right w:w="108" w:type="dxa"/>
            </w:tcMar>
            <w:hideMark/>
          </w:tcPr>
          <w:p w14:paraId="49ED9FA0" w14:textId="77777777" w:rsidR="003331FA" w:rsidRPr="00E0035D" w:rsidRDefault="003331FA" w:rsidP="003331FA">
            <w:pPr>
              <w:pStyle w:val="ProductList-Body"/>
              <w:rPr>
                <w:rFonts w:ascii="Tahoma" w:hAnsi="Tahoma" w:cs="Tahoma"/>
              </w:rPr>
            </w:pPr>
            <w:r>
              <w:rPr>
                <w:rFonts w:ascii="Tahoma" w:hAnsi="Tahoma" w:cs="Tahoma"/>
                <w:color w:val="000000"/>
                <w:sz w:val="16"/>
                <w:szCs w:val="16"/>
              </w:rPr>
              <w:t>Una (1) Essential CAL per Microsoft Dynamics CRM 2013/2015 o</w:t>
            </w:r>
          </w:p>
          <w:p w14:paraId="3C11873B" w14:textId="77777777" w:rsidR="003331FA" w:rsidRPr="002B0E58" w:rsidRDefault="003331FA" w:rsidP="003331FA">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 e</w:t>
            </w:r>
            <w:r>
              <w:rPr>
                <w:rFonts w:ascii="Tahoma" w:hAnsi="Tahoma" w:cs="Tahoma"/>
                <w:color w:val="000000"/>
                <w:sz w:val="16"/>
                <w:szCs w:val="16"/>
              </w:rPr>
              <w:br/>
              <w:t>Una (1) Basic Use Additive CAL per Microsoft Dynamics CRM 2013/2015</w:t>
            </w:r>
          </w:p>
        </w:tc>
      </w:tr>
      <w:tr w:rsidR="003331FA" w:rsidRPr="003331FA" w14:paraId="5386F90F" w14:textId="77777777" w:rsidTr="00DE344C">
        <w:tc>
          <w:tcPr>
            <w:tcW w:w="5040" w:type="dxa"/>
            <w:tcMar>
              <w:top w:w="0" w:type="dxa"/>
              <w:left w:w="108" w:type="dxa"/>
              <w:bottom w:w="0" w:type="dxa"/>
              <w:right w:w="108" w:type="dxa"/>
            </w:tcMar>
            <w:hideMark/>
          </w:tcPr>
          <w:p w14:paraId="7B9E92C4" w14:textId="77777777" w:rsidR="003331FA" w:rsidRPr="007E146D" w:rsidRDefault="003331FA" w:rsidP="003331FA">
            <w:pPr>
              <w:pStyle w:val="ProductList-Body"/>
            </w:pPr>
            <w:r>
              <w:rPr>
                <w:rFonts w:ascii="Tahoma" w:hAnsi="Tahoma" w:cs="Tahoma"/>
                <w:color w:val="000000"/>
                <w:sz w:val="16"/>
                <w:szCs w:val="16"/>
              </w:rPr>
              <w:t>Una (1) CAL Aggiuntiva per l’Utilizzo di Microsoft Dynamics CRM 2011 Limited</w:t>
            </w:r>
          </w:p>
          <w:p w14:paraId="0D715BD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788"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w:t>
            </w:r>
          </w:p>
        </w:tc>
      </w:tr>
      <w:tr w:rsidR="003331FA" w:rsidRPr="003331FA" w14:paraId="33D9282B" w14:textId="77777777" w:rsidTr="00DE344C">
        <w:tc>
          <w:tcPr>
            <w:tcW w:w="5040" w:type="dxa"/>
            <w:tcMar>
              <w:top w:w="0" w:type="dxa"/>
              <w:left w:w="108" w:type="dxa"/>
              <w:bottom w:w="0" w:type="dxa"/>
              <w:right w:w="108" w:type="dxa"/>
            </w:tcMar>
            <w:hideMark/>
          </w:tcPr>
          <w:p w14:paraId="7C0DA9B5" w14:textId="77777777" w:rsidR="003331FA" w:rsidRPr="007E146D" w:rsidRDefault="003331FA" w:rsidP="003331FA">
            <w:pPr>
              <w:pStyle w:val="ProductList-Body"/>
            </w:pPr>
            <w:r>
              <w:rPr>
                <w:rFonts w:ascii="Tahoma" w:hAnsi="Tahoma" w:cs="Tahoma"/>
                <w:color w:val="000000"/>
                <w:sz w:val="16"/>
                <w:szCs w:val="16"/>
              </w:rPr>
              <w:t>Una (1) CAL Aggiuntiva per l’Utilizzo Completo di Microsoft Dynamics CRM 2011</w:t>
            </w:r>
          </w:p>
          <w:p w14:paraId="33348F3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Aggiuntiva per l’Utilizzo Completo di Microsoft Dynamics CRM 4.0</w:t>
            </w:r>
          </w:p>
        </w:tc>
        <w:tc>
          <w:tcPr>
            <w:tcW w:w="5788" w:type="dxa"/>
            <w:tcMar>
              <w:top w:w="0" w:type="dxa"/>
              <w:left w:w="108" w:type="dxa"/>
              <w:bottom w:w="0" w:type="dxa"/>
              <w:right w:w="108" w:type="dxa"/>
            </w:tcMar>
            <w:hideMark/>
          </w:tcPr>
          <w:p w14:paraId="02674AF6" w14:textId="77777777" w:rsidR="003331FA" w:rsidRPr="007E146D" w:rsidRDefault="003331FA" w:rsidP="003331FA">
            <w:pPr>
              <w:pStyle w:val="ProductList-Body"/>
            </w:pPr>
            <w:r>
              <w:rPr>
                <w:rFonts w:ascii="Tahoma" w:hAnsi="Tahoma" w:cs="Tahoma"/>
                <w:color w:val="000000"/>
                <w:sz w:val="16"/>
                <w:szCs w:val="16"/>
              </w:rPr>
              <w:t>Una (1) Professional Use Additive CAL per Microsoft Dynamics CRM 2013/2015 o</w:t>
            </w:r>
          </w:p>
          <w:p w14:paraId="4FB37D42" w14:textId="1728907F" w:rsidR="003331FA" w:rsidRPr="003331FA" w:rsidRDefault="003331FA" w:rsidP="00BA1153">
            <w:pPr>
              <w:rPr>
                <w:rFonts w:ascii="Tahoma" w:hAnsi="Tahoma" w:cs="Tahoma"/>
                <w:color w:val="000000"/>
                <w:sz w:val="16"/>
                <w:szCs w:val="16"/>
              </w:rPr>
            </w:pPr>
            <w:r>
              <w:rPr>
                <w:rFonts w:ascii="Tahoma" w:hAnsi="Tahoma" w:cs="Tahoma"/>
                <w:color w:val="000000"/>
                <w:sz w:val="16"/>
                <w:szCs w:val="16"/>
              </w:rPr>
              <w:t>Una (1) Basic Use Additive CAL per Microsoft Dynamics CRM 2013/2015</w:t>
            </w:r>
            <w:r w:rsidR="001F2141" w:rsidRPr="003331FA">
              <w:rPr>
                <w:rStyle w:val="FootnoteReference"/>
                <w:rFonts w:ascii="Tahoma" w:hAnsi="Tahoma" w:cs="Tahoma"/>
                <w:color w:val="000000"/>
                <w:sz w:val="16"/>
                <w:szCs w:val="16"/>
              </w:rPr>
              <w:footnoteReference w:customMarkFollows="1" w:id="2"/>
              <w:t>[1]</w:t>
            </w:r>
            <w:r>
              <w:rPr>
                <w:rFonts w:ascii="Tahoma" w:hAnsi="Tahoma" w:cs="Tahoma"/>
                <w:color w:val="000000"/>
                <w:sz w:val="16"/>
                <w:szCs w:val="16"/>
              </w:rPr>
              <w:t xml:space="preserve"> </w:t>
            </w:r>
          </w:p>
        </w:tc>
      </w:tr>
      <w:tr w:rsidR="003331FA" w:rsidRPr="003331FA" w14:paraId="43CFE5C4" w14:textId="77777777" w:rsidTr="00DE344C">
        <w:trPr>
          <w:trHeight w:val="1159"/>
        </w:trPr>
        <w:tc>
          <w:tcPr>
            <w:tcW w:w="5040" w:type="dxa"/>
            <w:tcMar>
              <w:top w:w="0" w:type="dxa"/>
              <w:left w:w="108" w:type="dxa"/>
              <w:bottom w:w="0" w:type="dxa"/>
              <w:right w:w="108" w:type="dxa"/>
            </w:tcMar>
            <w:hideMark/>
          </w:tcPr>
          <w:p w14:paraId="284D0E7A" w14:textId="77777777" w:rsidR="003331FA" w:rsidRPr="007E146D" w:rsidRDefault="003331FA" w:rsidP="003331FA">
            <w:pPr>
              <w:pStyle w:val="ProductList-Body"/>
            </w:pPr>
            <w:r>
              <w:rPr>
                <w:rFonts w:ascii="Tahoma" w:hAnsi="Tahoma" w:cs="Tahoma"/>
                <w:color w:val="000000"/>
                <w:sz w:val="16"/>
                <w:szCs w:val="16"/>
              </w:rPr>
              <w:t>Una (1) External Connector per Microsoft Dynamics CRM 2011</w:t>
            </w:r>
          </w:p>
          <w:p w14:paraId="2F311EE9" w14:textId="77777777" w:rsidR="003331FA" w:rsidRPr="007E146D" w:rsidRDefault="003331FA" w:rsidP="003331FA">
            <w:r>
              <w:rPr>
                <w:rFonts w:ascii="Tahoma" w:hAnsi="Tahoma" w:cs="Tahoma"/>
                <w:color w:val="000000"/>
                <w:sz w:val="16"/>
                <w:szCs w:val="16"/>
              </w:rPr>
              <w:t>Una (1) Licenza External Connector Limitata per Microsoft Dynamics CRM 4.0</w:t>
            </w:r>
          </w:p>
          <w:p w14:paraId="2CE6C646" w14:textId="0A7B9A2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(da sola o come parte del gruppo Licenza External Connector Limitata per Microsoft Dynamics CRM 4.0 e Licenza External Connector Aggiuntiva per l’Utilizzo Completo di Microsoft Dynamics CRM 4.0)</w:t>
            </w:r>
          </w:p>
        </w:tc>
        <w:tc>
          <w:tcPr>
            <w:tcW w:w="5788"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per CRM 2013/2015 Server</w:t>
            </w:r>
          </w:p>
        </w:tc>
      </w:tr>
    </w:tbl>
    <w:p w14:paraId="4A5A0D9E" w14:textId="529FB00D" w:rsidR="003331FA" w:rsidRPr="00E0035D" w:rsidRDefault="003331FA" w:rsidP="003331FA">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Embedded Maintenance per Microsoft Dynamics CRM 2011 o versioni precedenti potranno eseguire l’aggiornamento a un’edizione Additive CAL precedente di Microsoft Dynamics CRM 2013/2015 quando aggiornano. Le società non potranno eseguire l’aggiornamento della Soluzione Unificata degli Utenti Finali a un’Additive CAL successiva rispetto alla licenza della quale stanno attualmente pagando l’Embedded Maintenance </w:t>
      </w:r>
    </w:p>
    <w:p w14:paraId="5BF28C85" w14:textId="77777777" w:rsidR="003331FA" w:rsidRPr="00E0035D" w:rsidRDefault="003331FA" w:rsidP="003331FA">
      <w:pPr>
        <w:jc w:val="both"/>
        <w:rPr>
          <w:rFonts w:ascii="Tahoma" w:hAnsi="Tahoma" w:cs="Tahoma"/>
        </w:rPr>
      </w:pPr>
    </w:p>
    <w:p w14:paraId="22BB8D31" w14:textId="78DD476C" w:rsidR="00D549E9" w:rsidRPr="00E0035D" w:rsidRDefault="00D549E9" w:rsidP="003331FA">
      <w:pPr>
        <w:spacing w:before="120" w:after="120"/>
        <w:jc w:val="both"/>
        <w:rPr>
          <w:rFonts w:ascii="Tahoma" w:hAnsi="Tahoma" w:cs="Tahoma"/>
        </w:rPr>
      </w:pPr>
      <w:r>
        <w:rPr>
          <w:rFonts w:ascii="Tahoma" w:hAnsi="Tahoma" w:cs="Tahoma"/>
          <w:b/>
          <w:szCs w:val="16"/>
        </w:rPr>
        <w:t>Office, Office Performance Point e Office Communications Server</w:t>
      </w:r>
    </w:p>
    <w:p w14:paraId="6D3958D7" w14:textId="77777777" w:rsidR="008C65C1" w:rsidRPr="00E0035D" w:rsidRDefault="008C65C1" w:rsidP="0051029E">
      <w:pPr>
        <w:tabs>
          <w:tab w:val="left" w:pos="450"/>
        </w:tabs>
        <w:rPr>
          <w:rFonts w:ascii="Tahoma" w:hAnsi="Tahoma" w:cs="Tahoma"/>
        </w:rPr>
      </w:pPr>
      <w:r>
        <w:rPr>
          <w:rFonts w:ascii="Tahoma" w:hAnsi="Tahoma" w:cs="Tahoma"/>
          <w:sz w:val="16"/>
          <w:szCs w:val="12"/>
        </w:rPr>
        <w:t>Nota:</w:t>
      </w:r>
      <w:r>
        <w:rPr>
          <w:rFonts w:ascii="Tahoma" w:hAnsi="Tahoma" w:cs="Tahoma"/>
          <w:sz w:val="16"/>
          <w:szCs w:val="12"/>
        </w:rPr>
        <w:tab/>
        <w:t>Le CAL/EC per OCS 2007 sono sostituite da CAL/EC per Lync Server dello stesso livello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77BD0" w14:paraId="22BB8D35" w14:textId="77777777" w:rsidTr="00A8626E">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724F27" w14:paraId="61EC91DE" w14:textId="77777777" w:rsidTr="00A8626E">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724F27" w14:paraId="22BB8D3E" w14:textId="77777777" w:rsidTr="00A8626E">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724F27" w14:paraId="22BB8D41" w14:textId="77777777" w:rsidTr="00A8626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724F27" w14:paraId="22BB8D44" w14:textId="77777777" w:rsidTr="00A8626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E146D" w:rsidRDefault="0071443B" w:rsidP="0071443B">
      <w:r>
        <w:rPr>
          <w:rFonts w:ascii="Tahoma" w:hAnsi="Tahoma" w:cs="Tahoma"/>
          <w:sz w:val="16"/>
          <w:szCs w:val="12"/>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22BB8D45" w14:textId="77777777" w:rsidR="00294CBF" w:rsidRPr="00E0035D" w:rsidRDefault="00294CBF" w:rsidP="00C267FD">
      <w:pPr>
        <w:rPr>
          <w:rFonts w:ascii="Tahoma" w:hAnsi="Tahoma" w:cs="Tahoma"/>
        </w:rPr>
      </w:pPr>
    </w:p>
    <w:p w14:paraId="04A359A6" w14:textId="5533E430" w:rsidR="00C267FD" w:rsidRPr="00E0035D" w:rsidRDefault="00C267FD" w:rsidP="00C267FD">
      <w:pPr>
        <w:spacing w:before="120" w:after="120"/>
        <w:jc w:val="both"/>
        <w:rPr>
          <w:rFonts w:ascii="Tahoma" w:hAnsi="Tahoma" w:cs="Tahoma"/>
        </w:rPr>
      </w:pPr>
      <w:r>
        <w:rPr>
          <w:rFonts w:ascii="Tahoma" w:hAnsi="Tahoma" w:cs="Tahoma"/>
          <w:b/>
        </w:rPr>
        <w:t>SharePoint Server 2013</w:t>
      </w:r>
    </w:p>
    <w:p w14:paraId="3217359E" w14:textId="463A2070" w:rsidR="00C267FD" w:rsidRPr="00E0035D" w:rsidRDefault="00C267FD" w:rsidP="00C267FD">
      <w:pPr>
        <w:rPr>
          <w:rFonts w:ascii="Tahoma" w:hAnsi="Tahoma" w:cs="Tahoma"/>
        </w:rPr>
      </w:pPr>
      <w:r>
        <w:rPr>
          <w:rFonts w:ascii="Tahoma" w:hAnsi="Tahoma" w:cs="Tahoma"/>
          <w:color w:val="000000"/>
          <w:sz w:val="16"/>
          <w:szCs w:val="16"/>
        </w:rPr>
        <w:t xml:space="preserve">SharePoint Server 2010 for Internet Sites Standard e SharePoint Server 2010 for Internet Sites Enterprise sono le versioni finali di tali prodotti. Alla luce di ciò le Società in possesso di </w:t>
      </w:r>
      <w:r>
        <w:rPr>
          <w:rFonts w:ascii="Tahoma" w:hAnsi="Tahoma" w:cs="Tahoma"/>
          <w:sz w:val="16"/>
          <w:szCs w:val="16"/>
        </w:rPr>
        <w:t xml:space="preserve">Manutenzione Evolutiva </w:t>
      </w:r>
      <w:r>
        <w:rPr>
          <w:rFonts w:ascii="Tahoma" w:hAnsi="Tahoma" w:cs="Tahoma"/>
          <w:color w:val="000000"/>
          <w:sz w:val="16"/>
          <w:szCs w:val="16"/>
        </w:rPr>
        <w:t>per SharePoint Server 2010 Standard o Enterprise attiva o per SharePoint Server 2010 for Internet Sites Standard o Enterprise potranno eseguire l’aggiornamento a SharePoint Server 2013 e distribuirlo al posto delle copie con licenza di SharePoint Server 2010 o SharePoint Server 2010 for Internet Sites che sono integrate in una Soluzione Unificata aggiornata.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549E9" w14:paraId="70D8940E" w14:textId="77777777" w:rsidTr="00A8626E">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Pr>
                <w:rFonts w:ascii="Tahoma" w:hAnsi="Tahoma" w:cs="Tahoma"/>
                <w:b/>
                <w:bCs/>
                <w:iCs/>
                <w:sz w:val="18"/>
                <w:szCs w:val="18"/>
              </w:rPr>
              <w:t>Licenza Server per SharePoint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Versione Successiva</w:t>
            </w:r>
          </w:p>
        </w:tc>
      </w:tr>
      <w:tr w:rsidR="00C267FD" w:rsidRPr="00D549E9" w14:paraId="4B39DBD7" w14:textId="77777777" w:rsidTr="00A8626E">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549E9" w14:paraId="301A8DDC" w14:textId="77777777" w:rsidTr="00A8626E">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25AEDFFE" w14:textId="13A66C22" w:rsidR="002B0E58" w:rsidRPr="00A8626E" w:rsidRDefault="002B0E58" w:rsidP="002B0E58">
      <w:pPr>
        <w:jc w:val="both"/>
        <w:rPr>
          <w:rFonts w:ascii="Tahoma" w:hAnsi="Tahoma" w:cs="Tahoma"/>
        </w:rPr>
      </w:pPr>
    </w:p>
    <w:p w14:paraId="22BB8D73" w14:textId="25A458E3" w:rsidR="006F2741" w:rsidRPr="00E0035D" w:rsidRDefault="00D549E9" w:rsidP="00C267FD">
      <w:pPr>
        <w:spacing w:before="120" w:after="120"/>
        <w:jc w:val="both"/>
        <w:rPr>
          <w:rFonts w:ascii="Tahoma" w:hAnsi="Tahoma" w:cs="Tahoma"/>
        </w:rPr>
      </w:pPr>
      <w:r>
        <w:rPr>
          <w:rFonts w:ascii="Tahoma" w:hAnsi="Tahoma" w:cs="Tahoma"/>
          <w:b/>
        </w:rPr>
        <w:t>SQL Server</w:t>
      </w:r>
    </w:p>
    <w:p w14:paraId="5D9BE676" w14:textId="77777777" w:rsidR="004247CA" w:rsidRPr="007E146D" w:rsidRDefault="004247CA" w:rsidP="004247CA">
      <w:pPr>
        <w:spacing w:before="120" w:after="120"/>
        <w:jc w:val="both"/>
      </w:pPr>
      <w:r>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2012 in base al rapporto processore-core che segue. Le società con Utenti Finali coperti da licenze server attive (Standard o Workgroup) per Embedded Maintenance per SQL Server potranno aggiornare la Soluzione Unificata degli Utenti Finali al fine di includere SQL Server 2012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D49D1" w14:paraId="3B6140B9" w14:textId="77777777" w:rsidTr="009B6C0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DD49D1" w14:paraId="278519D7" w14:textId="77777777" w:rsidTr="009B6C0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Pr>
                <w:rFonts w:ascii="Tahoma" w:hAnsi="Tahoma" w:cs="Tahoma"/>
                <w:bCs/>
                <w:sz w:val="16"/>
                <w:szCs w:val="19"/>
              </w:rPr>
              <w:t>Un (1) SQL Server Datacenter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Otto (8) per SQL Server 2012 Enterprise Core</w:t>
            </w:r>
            <w:r>
              <w:rPr>
                <w:rFonts w:ascii="Tahoma" w:hAnsi="Tahoma" w:cs="Tahoma"/>
                <w:bCs/>
                <w:sz w:val="16"/>
                <w:szCs w:val="19"/>
                <w:vertAlign w:val="superscript"/>
              </w:rPr>
              <w:t>1,2,3</w:t>
            </w:r>
          </w:p>
        </w:tc>
      </w:tr>
      <w:tr w:rsidR="004247CA" w:rsidRPr="00DD49D1" w14:paraId="3F6F648F" w14:textId="77777777" w:rsidTr="009B6C0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Pr>
                <w:rFonts w:ascii="Tahoma" w:hAnsi="Tahoma" w:cs="Tahoma"/>
                <w:bCs/>
                <w:sz w:val="16"/>
                <w:szCs w:val="19"/>
              </w:rPr>
              <w:t>Un (1) SQL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Quattro (4) per SQL Server 2012 Enterprise Core</w:t>
            </w:r>
            <w:r>
              <w:rPr>
                <w:rFonts w:ascii="Tahoma" w:hAnsi="Tahoma" w:cs="Tahoma"/>
                <w:bCs/>
                <w:sz w:val="16"/>
                <w:szCs w:val="19"/>
                <w:vertAlign w:val="superscript"/>
              </w:rPr>
              <w:t>1,2,3</w:t>
            </w:r>
          </w:p>
        </w:tc>
      </w:tr>
      <w:tr w:rsidR="004247CA" w:rsidRPr="00DD49D1" w14:paraId="26063BDD" w14:textId="77777777" w:rsidTr="009B6C0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Pr>
                <w:rFonts w:ascii="Tahoma" w:hAnsi="Tahoma" w:cs="Tahoma"/>
                <w:bCs/>
                <w:sz w:val="16"/>
                <w:szCs w:val="19"/>
              </w:rPr>
              <w:t>Un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Una (1) per SQL Server 2012 Enterprise Server</w:t>
            </w:r>
            <w:r>
              <w:rPr>
                <w:rFonts w:ascii="Tahoma" w:hAnsi="Tahoma" w:cs="Tahoma"/>
                <w:bCs/>
                <w:sz w:val="16"/>
                <w:szCs w:val="19"/>
                <w:vertAlign w:val="superscript"/>
              </w:rPr>
              <w:t>2</w:t>
            </w:r>
          </w:p>
        </w:tc>
      </w:tr>
      <w:tr w:rsidR="004247CA" w:rsidRPr="00DD49D1" w14:paraId="6DB9F8E3"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Un (1) SQL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Quattro (4) per SQL Server 2012 Standard Core</w:t>
            </w:r>
            <w:r>
              <w:rPr>
                <w:rFonts w:ascii="Tahoma" w:hAnsi="Tahoma" w:cs="Tahoma"/>
                <w:bCs/>
                <w:sz w:val="16"/>
                <w:szCs w:val="19"/>
                <w:vertAlign w:val="superscript"/>
              </w:rPr>
              <w:t>1,3</w:t>
            </w:r>
          </w:p>
        </w:tc>
      </w:tr>
      <w:tr w:rsidR="004247CA" w:rsidRPr="00DD49D1" w14:paraId="1D7D345A"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Un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Un (1) SQL Server 2012 Standard Server</w:t>
            </w:r>
          </w:p>
        </w:tc>
      </w:tr>
      <w:tr w:rsidR="004247CA" w:rsidRPr="00DD49D1" w14:paraId="3A5EF69F"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Un (1) SQL Server Workgroup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Quattro (4) per SQL Server 2012 Standard Core</w:t>
            </w:r>
            <w:r>
              <w:rPr>
                <w:rFonts w:ascii="Tahoma" w:hAnsi="Tahoma" w:cs="Tahoma"/>
                <w:bCs/>
                <w:sz w:val="16"/>
                <w:szCs w:val="19"/>
                <w:vertAlign w:val="superscript"/>
              </w:rPr>
              <w:t>1,3</w:t>
            </w:r>
          </w:p>
        </w:tc>
      </w:tr>
      <w:tr w:rsidR="004247CA" w:rsidRPr="00DD49D1" w14:paraId="113359AD"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Un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Un (1) SQL Server 2012 Standard Server</w:t>
            </w:r>
          </w:p>
        </w:tc>
      </w:tr>
    </w:tbl>
    <w:p w14:paraId="7A03EEE0" w14:textId="77777777" w:rsidR="004247CA" w:rsidRPr="00E0035D" w:rsidRDefault="004247CA" w:rsidP="004247CA">
      <w:pPr>
        <w:rPr>
          <w:rFonts w:ascii="Tahoma" w:hAnsi="Tahoma" w:cs="Tahoma"/>
        </w:rPr>
      </w:pPr>
    </w:p>
    <w:p w14:paraId="03F00DF3" w14:textId="6DF5F05B" w:rsidR="004247CA" w:rsidRPr="007E146D" w:rsidRDefault="004247CA" w:rsidP="004247CA">
      <w:r>
        <w:rPr>
          <w:rFonts w:ascii="Tahoma" w:hAnsi="Tahoma" w:cs="Tahoma"/>
          <w:sz w:val="16"/>
          <w:szCs w:val="16"/>
          <w:vertAlign w:val="superscript"/>
        </w:rPr>
        <w:t xml:space="preserve">1 </w:t>
      </w:r>
      <w:r>
        <w:rPr>
          <w:rFonts w:ascii="Tahoma" w:hAnsi="Tahoma" w:cs="Tahoma"/>
          <w:sz w:val="16"/>
          <w:szCs w:val="16"/>
        </w:rPr>
        <w:t>Qualora l’Utente Finale esegua SQL Server (“SQL”) su processori con un numero di core superiore a quello indicato nella precedente colonna “Licenza Idonea” alla data dell’aggiornamento a SQL Server 2012 tramite copertura Manutenzione Evolutiva attiva, all’Utente Finale viene concesso in licenza l’utilizzo di SQL sul numero di core su cui il Prodotto era in esecuzione al momento dell’aggiornamento alla Licenza Idonea. Tuttavia, l’Utente Finale dovrà mantenere traccia della configurazione dell’SQL in esecuzione sul server (istanze concesse in licenza in esecuzione in ambienti di sistema operativo sul server con licenza) e dell’hardware fisico di supporto all’SQL al momento del rinnovo di Embedded Maintenance, utilizzando lo strumento Microsoft MAP o software equivalente che consenta la registrazione dei diritti concessi in licenza.</w:t>
      </w:r>
    </w:p>
    <w:p w14:paraId="2B53DF72" w14:textId="607060D0"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2012 Enterprise Server/CAL e SQL Server 2012 Enterprise Core prevedono supporti di memorizzazione specifici. La Società deve consentire all’Utente Finale l’utilizzo dei soli supporti di memorizzazione per il software e il modello di licenza per i quali l’Utente Finale dispone di licenza.</w:t>
      </w:r>
    </w:p>
    <w:p w14:paraId="4BAFECC8"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Il collegamento alla tabella dei fattori core è disponibile nel Contratto di Licenza con l’Utente Finale per il software SQL 2012.</w:t>
      </w:r>
    </w:p>
    <w:p w14:paraId="371BA2BA" w14:textId="77777777" w:rsidR="004247CA" w:rsidRPr="00C37DF7" w:rsidRDefault="004247CA" w:rsidP="004247CA">
      <w:pPr>
        <w:rPr>
          <w:rFonts w:ascii="Tahoma" w:hAnsi="Tahoma" w:cs="Tahoma"/>
          <w:sz w:val="16"/>
          <w:szCs w:val="16"/>
        </w:rPr>
      </w:pPr>
    </w:p>
    <w:p w14:paraId="2E4FB00B" w14:textId="4B74CE8F" w:rsidR="004247CA" w:rsidRPr="007E146D" w:rsidRDefault="004247CA" w:rsidP="0033679C">
      <w:pPr>
        <w:spacing w:after="120"/>
      </w:pPr>
      <w:r>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2014 in base al rapporto processore-core che segue. Le società con Utenti Finali coperti da licenze server attive (Standard o Workgroup) per Embedded Maintenance per SQL Server potranno aggiornare la Soluzione Unificata degli Utenti Finali al fine di includere SQL Server 2014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45770" w14:paraId="292BE303" w14:textId="77777777" w:rsidTr="0085789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D45770" w14:paraId="21347010" w14:textId="77777777" w:rsidTr="0085789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Pr>
                <w:rFonts w:ascii="Tahoma" w:hAnsi="Tahoma" w:cs="Tahoma"/>
                <w:bCs/>
                <w:sz w:val="16"/>
                <w:szCs w:val="19"/>
              </w:rPr>
              <w:t>Un (1) SQL Server Datacenter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Otto (8) per SQL Server 2014 Enterprise Core</w:t>
            </w:r>
            <w:r>
              <w:rPr>
                <w:rFonts w:ascii="Tahoma" w:hAnsi="Tahoma" w:cs="Tahoma"/>
                <w:bCs/>
                <w:sz w:val="16"/>
                <w:szCs w:val="19"/>
                <w:vertAlign w:val="superscript"/>
              </w:rPr>
              <w:t>1,2,3</w:t>
            </w:r>
          </w:p>
        </w:tc>
      </w:tr>
      <w:tr w:rsidR="004247CA" w:rsidRPr="00D45770" w14:paraId="384FFD84" w14:textId="77777777" w:rsidTr="0085789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Pr>
                <w:rFonts w:ascii="Tahoma" w:hAnsi="Tahoma" w:cs="Tahoma"/>
                <w:bCs/>
                <w:sz w:val="16"/>
                <w:szCs w:val="19"/>
              </w:rPr>
              <w:t>Un (1) SQL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Quattro (4) per SQL Server 2014 Enterprise Core</w:t>
            </w:r>
            <w:r>
              <w:rPr>
                <w:rFonts w:ascii="Tahoma" w:hAnsi="Tahoma" w:cs="Tahoma"/>
                <w:bCs/>
                <w:sz w:val="16"/>
                <w:szCs w:val="19"/>
                <w:vertAlign w:val="superscript"/>
              </w:rPr>
              <w:t>1,2,3</w:t>
            </w:r>
          </w:p>
        </w:tc>
      </w:tr>
      <w:tr w:rsidR="004247CA" w:rsidRPr="00D45770" w14:paraId="6DE6E8D1" w14:textId="77777777" w:rsidTr="0085789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Pr>
                <w:rFonts w:ascii="Tahoma" w:hAnsi="Tahoma" w:cs="Tahoma"/>
                <w:bCs/>
                <w:sz w:val="16"/>
                <w:szCs w:val="19"/>
              </w:rPr>
              <w:t>Un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Una (1) per SQL Server 2014 Enterprise Server</w:t>
            </w:r>
            <w:r>
              <w:rPr>
                <w:rFonts w:ascii="Tahoma" w:hAnsi="Tahoma" w:cs="Tahoma"/>
                <w:bCs/>
                <w:sz w:val="16"/>
                <w:szCs w:val="19"/>
                <w:vertAlign w:val="superscript"/>
              </w:rPr>
              <w:t>2</w:t>
            </w:r>
          </w:p>
        </w:tc>
      </w:tr>
      <w:tr w:rsidR="004247CA" w:rsidRPr="00D45770" w14:paraId="6738D9FD" w14:textId="77777777" w:rsidTr="0085789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Un (1) SQL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Quattro (4) per SQL Server 2014 Standard Core</w:t>
            </w:r>
            <w:r>
              <w:rPr>
                <w:rFonts w:ascii="Tahoma" w:hAnsi="Tahoma" w:cs="Tahoma"/>
                <w:bCs/>
                <w:sz w:val="16"/>
                <w:szCs w:val="19"/>
                <w:vertAlign w:val="superscript"/>
              </w:rPr>
              <w:t>1,3</w:t>
            </w:r>
          </w:p>
        </w:tc>
      </w:tr>
      <w:tr w:rsidR="004247CA" w:rsidRPr="00D45770" w14:paraId="225ABB99" w14:textId="77777777" w:rsidTr="00857890">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Un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Un (1) SQL Server 2014 Standard Server</w:t>
            </w:r>
          </w:p>
        </w:tc>
      </w:tr>
      <w:tr w:rsidR="004247CA" w:rsidRPr="00D45770" w14:paraId="2BB0885B" w14:textId="77777777" w:rsidTr="0085789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Un (1) SQL Server Workgroup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Quattro (4) per SQL Server 2014 Standard Core</w:t>
            </w:r>
            <w:r>
              <w:rPr>
                <w:rFonts w:ascii="Tahoma" w:hAnsi="Tahoma" w:cs="Tahoma"/>
                <w:bCs/>
                <w:sz w:val="16"/>
                <w:szCs w:val="19"/>
                <w:vertAlign w:val="superscript"/>
              </w:rPr>
              <w:t>1,3</w:t>
            </w:r>
          </w:p>
        </w:tc>
      </w:tr>
      <w:tr w:rsidR="004247CA" w:rsidRPr="00D45770" w14:paraId="26CCD5D8" w14:textId="77777777" w:rsidTr="0085789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Un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Un (1) SQL Server 2014 Standard Server</w:t>
            </w:r>
          </w:p>
        </w:tc>
      </w:tr>
    </w:tbl>
    <w:p w14:paraId="1B348707" w14:textId="77777777" w:rsidR="004247CA" w:rsidRPr="00C37DF7" w:rsidRDefault="004247CA" w:rsidP="004247CA">
      <w:pPr>
        <w:rPr>
          <w:rFonts w:ascii="Tahoma" w:hAnsi="Tahoma" w:cs="Tahoma"/>
          <w:sz w:val="16"/>
          <w:szCs w:val="16"/>
        </w:rPr>
      </w:pPr>
    </w:p>
    <w:p w14:paraId="492CDCED" w14:textId="2D2FED86" w:rsidR="004247CA" w:rsidRPr="007E146D" w:rsidRDefault="004247CA" w:rsidP="004247CA">
      <w:r>
        <w:rPr>
          <w:rFonts w:ascii="Tahoma" w:hAnsi="Tahoma" w:cs="Tahoma"/>
          <w:sz w:val="16"/>
          <w:szCs w:val="16"/>
          <w:vertAlign w:val="superscript"/>
        </w:rPr>
        <w:t>1</w:t>
      </w:r>
      <w:r>
        <w:rPr>
          <w:rFonts w:ascii="Tahoma" w:hAnsi="Tahoma" w:cs="Tahoma"/>
          <w:sz w:val="16"/>
          <w:szCs w:val="16"/>
        </w:rPr>
        <w:t xml:space="preserve">Le società con licenze per processore per SQL Server (Utilizzo Limitato del Runtime) dovranno prendere visione della nota aggiuntiva che segue riguardante gli aggiornamenti alle licenze core per SQL Server 2014. </w:t>
      </w:r>
    </w:p>
    <w:p w14:paraId="59245194" w14:textId="07F43747"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2014 Enterprise Server/CAL e SQL Server 2014 Enterprise Core prevedono supporti di memorizzazione specifici. La Società deve consentire all’Utente Finale l’utilizzo dei soli supporti di memorizzazione per il software e il modello di licenza per i quali l’Utente Finale dispone di licenza.</w:t>
      </w:r>
    </w:p>
    <w:p w14:paraId="615A80AB"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Il collegamento alla tabella dei fattori core è disponibile nel Contratto di Licenza con l’Utente Finale per il software SQL 2014.</w:t>
      </w:r>
    </w:p>
    <w:p w14:paraId="7E060878" w14:textId="77777777" w:rsidR="00FA7289" w:rsidRPr="00C37DF7" w:rsidRDefault="00FA7289" w:rsidP="00485D5E">
      <w:pPr>
        <w:rPr>
          <w:rFonts w:ascii="Tahoma" w:hAnsi="Tahoma" w:cs="Tahoma"/>
          <w:sz w:val="16"/>
          <w:szCs w:val="16"/>
        </w:rPr>
      </w:pPr>
    </w:p>
    <w:p w14:paraId="2CE9F2E8" w14:textId="472B97CE" w:rsidR="00485D5E" w:rsidRPr="007E146D" w:rsidRDefault="00485D5E" w:rsidP="00485D5E">
      <w:r>
        <w:rPr>
          <w:rFonts w:ascii="Tahoma" w:hAnsi="Tahoma" w:cs="Tahoma"/>
          <w:color w:val="000000"/>
          <w:sz w:val="16"/>
          <w:szCs w:val="16"/>
        </w:rPr>
        <w:t xml:space="preserve">SQL Server 2012 Enterprise Core e SQL Server 2012 Standard Core sono le ultime versioni di SQL Server Core per includere un’edizione Utilizzo Limitato del Runtime. Le società con Utenti Finali coperti da licenze attive per </w:t>
      </w:r>
      <w:r>
        <w:rPr>
          <w:rFonts w:ascii="Tahoma" w:hAnsi="Tahoma" w:cs="Tahoma"/>
          <w:sz w:val="16"/>
          <w:szCs w:val="16"/>
        </w:rPr>
        <w:t xml:space="preserve">Manutenzione Evolutiva </w:t>
      </w:r>
      <w:r>
        <w:rPr>
          <w:rFonts w:ascii="Tahoma" w:hAnsi="Tahoma" w:cs="Tahoma"/>
          <w:color w:val="000000"/>
          <w:sz w:val="16"/>
          <w:szCs w:val="16"/>
        </w:rPr>
        <w:t>per SQL Server 2012 Enterprise Core (Utilizzo Limitato del Runtime) e per SQL Server 2012 Standard Core (Utilizzo Limitato del Runtime) potranno eseguire l’aggiornamento a SQL Server 2014 Enterprise Core e SQL Server 2014 Standard Core (licenze per l’utilizzo completo) e la relativa distribuzione, rispettivamente, al posto delle copie con licenza di SQL Server 2012 Enterprise Core (Utilizzo Limitato del Runtime) e di SQL Server 2012 Standard Core (Utilizzo Limitato del Runtime) che sono integrate in una Soluzione Unificata aggiornata.</w:t>
      </w:r>
    </w:p>
    <w:p w14:paraId="15C083B9" w14:textId="77777777" w:rsidR="00485D5E" w:rsidRPr="00C37DF7" w:rsidRDefault="00485D5E" w:rsidP="00485D5E">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5"/>
        <w:gridCol w:w="5040"/>
      </w:tblGrid>
      <w:tr w:rsidR="00485D5E" w:rsidRPr="00D549E9" w14:paraId="1F40C85B" w14:textId="77777777" w:rsidTr="00857890">
        <w:trPr>
          <w:trHeight w:val="217"/>
        </w:trPr>
        <w:tc>
          <w:tcPr>
            <w:tcW w:w="5765"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9B7131">
            <w:pPr>
              <w:keepNext/>
              <w:jc w:val="center"/>
              <w:rPr>
                <w:rFonts w:ascii="Tahoma" w:hAnsi="Tahoma" w:cs="Tahoma"/>
                <w:b/>
                <w:bCs/>
                <w:sz w:val="18"/>
                <w:szCs w:val="18"/>
                <w:lang w:val="pt-BR"/>
              </w:rPr>
            </w:pPr>
            <w:r>
              <w:rPr>
                <w:rFonts w:ascii="Tahoma" w:hAnsi="Tahoma" w:cs="Tahoma"/>
                <w:b/>
                <w:bCs/>
                <w:iCs/>
                <w:sz w:val="18"/>
                <w:szCs w:val="18"/>
              </w:rPr>
              <w:t>Licenza Qualificante</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9B7131">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85D5E" w:rsidRPr="00206E89" w14:paraId="3930EACB" w14:textId="77777777" w:rsidTr="00857890">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9B7131">
            <w:pPr>
              <w:keepNext/>
              <w:rPr>
                <w:rFonts w:ascii="Tahoma" w:hAnsi="Tahoma" w:cs="Tahoma"/>
                <w:bCs/>
                <w:sz w:val="16"/>
                <w:szCs w:val="19"/>
                <w:lang w:val="pt-BR"/>
              </w:rPr>
            </w:pPr>
            <w:r>
              <w:rPr>
                <w:rFonts w:ascii="Tahoma" w:hAnsi="Tahoma" w:cs="Tahoma"/>
                <w:bCs/>
                <w:sz w:val="16"/>
                <w:szCs w:val="19"/>
              </w:rPr>
              <w:t>Una (1) per SQL Server 2012 Enterprise Core (Utilizzo Limitato del Runtime)</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9B7131">
            <w:pPr>
              <w:keepNext/>
              <w:rPr>
                <w:rFonts w:ascii="Tahoma" w:hAnsi="Tahoma" w:cs="Tahoma"/>
                <w:bCs/>
                <w:sz w:val="16"/>
                <w:szCs w:val="19"/>
                <w:vertAlign w:val="superscript"/>
              </w:rPr>
            </w:pPr>
            <w:r>
              <w:rPr>
                <w:rFonts w:ascii="Tahoma" w:hAnsi="Tahoma" w:cs="Tahoma"/>
                <w:bCs/>
                <w:sz w:val="16"/>
                <w:szCs w:val="19"/>
              </w:rPr>
              <w:t>Una (1) per SQL Server 2014 Enterprise Core (Utilizzo Completo)</w:t>
            </w:r>
            <w:r>
              <w:rPr>
                <w:rFonts w:ascii="Tahoma" w:hAnsi="Tahoma" w:cs="Tahoma"/>
                <w:bCs/>
                <w:sz w:val="16"/>
                <w:szCs w:val="19"/>
                <w:vertAlign w:val="superscript"/>
              </w:rPr>
              <w:t>1,2</w:t>
            </w:r>
          </w:p>
        </w:tc>
      </w:tr>
      <w:tr w:rsidR="00485D5E" w:rsidRPr="00206E89" w14:paraId="052B1938" w14:textId="77777777" w:rsidTr="00857890">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9B7131">
            <w:pPr>
              <w:keepNext/>
              <w:rPr>
                <w:rFonts w:ascii="Tahoma" w:hAnsi="Tahoma" w:cs="Tahoma"/>
                <w:bCs/>
                <w:sz w:val="16"/>
                <w:szCs w:val="19"/>
                <w:lang w:val="pt-BR"/>
              </w:rPr>
            </w:pPr>
            <w:r>
              <w:rPr>
                <w:rFonts w:ascii="Tahoma" w:hAnsi="Tahoma" w:cs="Tahoma"/>
                <w:bCs/>
                <w:sz w:val="16"/>
                <w:szCs w:val="19"/>
              </w:rPr>
              <w:t>Una (1) per SQL Server 2012 Standard Core (Utilizzo Limitato del Runtime)</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9B7131">
            <w:pPr>
              <w:keepNext/>
              <w:rPr>
                <w:rFonts w:ascii="Tahoma" w:hAnsi="Tahoma" w:cs="Tahoma"/>
                <w:bCs/>
                <w:sz w:val="16"/>
                <w:szCs w:val="19"/>
              </w:rPr>
            </w:pPr>
            <w:r>
              <w:rPr>
                <w:rFonts w:ascii="Tahoma" w:hAnsi="Tahoma" w:cs="Tahoma"/>
                <w:bCs/>
                <w:sz w:val="16"/>
                <w:szCs w:val="19"/>
              </w:rPr>
              <w:t>Una (1) per SQL Server 2014 Standard Core (Utilizzo Completo)</w:t>
            </w:r>
          </w:p>
        </w:tc>
      </w:tr>
    </w:tbl>
    <w:p w14:paraId="61732C4C" w14:textId="77777777" w:rsidR="00485D5E" w:rsidRPr="00E0035D" w:rsidRDefault="00485D5E" w:rsidP="00485D5E">
      <w:pPr>
        <w:rPr>
          <w:rFonts w:ascii="Tahoma" w:hAnsi="Tahoma" w:cs="Tahoma"/>
        </w:rPr>
      </w:pPr>
    </w:p>
    <w:p w14:paraId="1A773DDD" w14:textId="480BF888" w:rsidR="00485D5E" w:rsidRPr="007E146D" w:rsidRDefault="00485D5E" w:rsidP="00485D5E">
      <w:r>
        <w:rPr>
          <w:rFonts w:ascii="Tahoma" w:hAnsi="Tahoma" w:cs="Tahoma"/>
          <w:sz w:val="16"/>
          <w:szCs w:val="16"/>
          <w:vertAlign w:val="superscript"/>
        </w:rPr>
        <w:t>1</w:t>
      </w:r>
      <w:r>
        <w:rPr>
          <w:rFonts w:ascii="Tahoma" w:hAnsi="Tahoma" w:cs="Tahoma"/>
          <w:sz w:val="16"/>
          <w:szCs w:val="16"/>
        </w:rPr>
        <w:t>SQL Server 2014 Enterprise Server/CAL e SQL Server 2014 Enterprise Core prevedono supporti di memorizzazione specifici. La Società deve consentire all’Utente Finale l’utilizzo dei soli supporti di memorizzazione per il software e il modello di licenza per i quali l’Utente Finale dispone di licenza.</w:t>
      </w:r>
    </w:p>
    <w:p w14:paraId="6B8CFECE" w14:textId="0E4A5306" w:rsidR="00485D5E" w:rsidRPr="007E146D" w:rsidRDefault="00485D5E" w:rsidP="00485D5E">
      <w:r>
        <w:rPr>
          <w:rFonts w:ascii="Tahoma" w:hAnsi="Tahoma" w:cs="Tahoma"/>
          <w:sz w:val="16"/>
          <w:szCs w:val="16"/>
          <w:vertAlign w:val="superscript"/>
        </w:rPr>
        <w:t>2</w:t>
      </w:r>
      <w:r>
        <w:rPr>
          <w:rFonts w:ascii="Tahoma" w:hAnsi="Tahoma" w:cs="Tahoma"/>
          <w:sz w:val="16"/>
          <w:szCs w:val="16"/>
        </w:rPr>
        <w:t>Il collegamento alla tabella dei fattori core è disponibile nel Contratto di Licenza con l’Utente Finale per il software SQLServer 2014.</w:t>
      </w:r>
    </w:p>
    <w:p w14:paraId="3827DB2F" w14:textId="16C6E94D" w:rsidR="00583237" w:rsidRPr="00E0035D" w:rsidRDefault="00583237" w:rsidP="00C267FD">
      <w:pPr>
        <w:tabs>
          <w:tab w:val="left" w:pos="3770"/>
        </w:tabs>
        <w:rPr>
          <w:rFonts w:ascii="Tahoma" w:hAnsi="Tahoma" w:cs="Tahoma"/>
        </w:rPr>
      </w:pPr>
    </w:p>
    <w:p w14:paraId="40EEA48D" w14:textId="35B22339" w:rsidR="00583237" w:rsidRPr="007E146D" w:rsidRDefault="00583237" w:rsidP="00C267FD">
      <w:pPr>
        <w:spacing w:before="120" w:after="120"/>
        <w:jc w:val="both"/>
      </w:pPr>
      <w:r>
        <w:rPr>
          <w:rFonts w:ascii="Tahoma" w:hAnsi="Tahoma" w:cs="Tahoma"/>
          <w:b/>
          <w:bCs/>
          <w:szCs w:val="19"/>
        </w:rPr>
        <w:t>Concessioni per la Transizione dei Prodotti System Center</w:t>
      </w:r>
    </w:p>
    <w:p w14:paraId="1E2B7DC1" w14:textId="1451DFAF" w:rsidR="00583237" w:rsidRPr="007E146D" w:rsidRDefault="00583237" w:rsidP="0033679C">
      <w:pPr>
        <w:spacing w:after="120"/>
      </w:pPr>
      <w:r>
        <w:rPr>
          <w:rFonts w:ascii="Tahoma" w:hAnsi="Tahoma" w:cs="Tahoma"/>
          <w:sz w:val="16"/>
          <w:szCs w:val="12"/>
        </w:rPr>
        <w:t xml:space="preserve">System Center 2012 è un nuovo prodotto e non la versione successiva di precedenti prodotti System Center. Per abilitare la transizione al nuovo prodotto, una concessione una tantum per la transizione viene offerta agli Utenti Finali che dispongono di Embedded Maintenance attiva al 1 aprile 2012. Gli Utenti Finali che si qualificano per una concessione una tantum per la transizione dovranno mantenere la copertura Embedded Maintenance attiva fino alla data di aggiornamento alla Soluzione Unificata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120"/>
        <w:gridCol w:w="4680"/>
      </w:tblGrid>
      <w:tr w:rsidR="00583237" w:rsidRPr="00F77BD0" w14:paraId="251F2813" w14:textId="77777777" w:rsidTr="007B71E4">
        <w:trPr>
          <w:trHeight w:val="217"/>
        </w:trPr>
        <w:tc>
          <w:tcPr>
            <w:tcW w:w="612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468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83237" w:rsidRPr="00F77BD0" w14:paraId="05E79D22"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Pr>
                <w:rFonts w:ascii="Tahoma" w:hAnsi="Tahoma" w:cs="Tahoma"/>
                <w:bCs/>
                <w:sz w:val="16"/>
                <w:szCs w:val="19"/>
              </w:rPr>
              <w:t xml:space="preserve">Qualsiasi licenza per System Center Management Server </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Client Management Suite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2012 Client Management Suite (per OSE/per Utente)</w:t>
            </w:r>
          </w:p>
        </w:tc>
      </w:tr>
      <w:tr w:rsidR="00583237" w:rsidRPr="00F77BD0" w14:paraId="49A084B2"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Pr>
                <w:rFonts w:ascii="Tahoma" w:hAnsi="Tahoma" w:cs="Tahoma"/>
                <w:bCs/>
                <w:sz w:val="16"/>
                <w:szCs w:val="19"/>
              </w:rPr>
              <w:t>Client ML per System Center Configuration Manager 2007 R3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77BD0" w14:paraId="622E6D7A"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Pr>
                <w:rFonts w:ascii="Tahoma" w:hAnsi="Tahoma" w:cs="Tahoma"/>
                <w:bCs/>
                <w:sz w:val="16"/>
                <w:szCs w:val="19"/>
              </w:rPr>
              <w:t>Server ML per System Center Configuration Manager 2007 R3</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Pr>
                <w:rFonts w:ascii="Tahoma" w:hAnsi="Tahoma" w:cs="Tahoma"/>
                <w:bCs/>
                <w:sz w:val="16"/>
                <w:szCs w:val="19"/>
              </w:rPr>
              <w:t>Client ML per System Center Data Protection Manager 2010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77BD0" w14:paraId="4C4E3B29" w14:textId="77777777" w:rsidTr="007B71E4">
        <w:trPr>
          <w:trHeight w:val="278"/>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Server ML per System Center Data Protection Manager 2010</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Pr>
                <w:rFonts w:ascii="Tahoma" w:hAnsi="Tahoma" w:cs="Tahoma"/>
                <w:bCs/>
                <w:sz w:val="16"/>
                <w:szCs w:val="19"/>
              </w:rPr>
              <w:t>Client ML per System Center Operations Manager 2007 R2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77BD0" w14:paraId="0797584C"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rPr>
              <w:t>Server ML per System Center Operations Manager 2007 R2</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61230AB2"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Pr>
                <w:rFonts w:ascii="Tahoma" w:hAnsi="Tahoma" w:cs="Tahoma"/>
                <w:bCs/>
                <w:sz w:val="16"/>
                <w:szCs w:val="19"/>
              </w:rPr>
              <w:t>Una (1) per System Center 2012 Datacenter per ogni due (2) per System Center Server Management Suite Datacenter qualificanti</w:t>
            </w:r>
          </w:p>
        </w:tc>
      </w:tr>
      <w:tr w:rsidR="00583237" w:rsidRPr="00F77BD0" w14:paraId="076A7FDB"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Due (2) per System Center 2012 Standard</w:t>
            </w:r>
            <w:r>
              <w:rPr>
                <w:rFonts w:ascii="Tahoma" w:hAnsi="Tahoma" w:cs="Tahoma"/>
                <w:bCs/>
                <w:sz w:val="16"/>
                <w:szCs w:val="19"/>
                <w:vertAlign w:val="superscript"/>
              </w:rPr>
              <w:t>1</w:t>
            </w:r>
          </w:p>
        </w:tc>
      </w:tr>
      <w:tr w:rsidR="00583237" w:rsidRPr="00C427F2" w14:paraId="61273139"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Pr>
                <w:rFonts w:ascii="Tahoma" w:hAnsi="Tahoma" w:cs="Tahoma"/>
                <w:bCs/>
                <w:sz w:val="16"/>
                <w:szCs w:val="19"/>
              </w:rPr>
              <w:t>Client ML per System Center Service Manager 2010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77BD0" w14:paraId="70C26E0B"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rPr>
              <w:t>Server ML per System Center Service Manager 2010</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Pr>
                <w:rFonts w:ascii="Tahoma" w:hAnsi="Tahoma" w:cs="Tahoma"/>
                <w:bCs/>
                <w:sz w:val="16"/>
                <w:szCs w:val="19"/>
              </w:rPr>
              <w:t>Client ML per System Center Virtual Machine Manager 2008 R2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77BD0" w14:paraId="0556BA71"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rPr>
              <w:t>Server ML per System Center Virtual Machine Manager 2008 R2</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Default="00583237" w:rsidP="00C267FD">
      <w:pPr>
        <w:rPr>
          <w:rFonts w:ascii="Tahoma" w:hAnsi="Tahoma" w:cs="Tahoma"/>
          <w:sz w:val="16"/>
          <w:szCs w:val="16"/>
        </w:rPr>
      </w:pPr>
      <w:r>
        <w:rPr>
          <w:rFonts w:ascii="Tahoma" w:hAnsi="Tahoma" w:cs="Tahoma"/>
          <w:bCs/>
          <w:sz w:val="16"/>
          <w:szCs w:val="19"/>
          <w:vertAlign w:val="superscript"/>
        </w:rPr>
        <w:t xml:space="preserve">1 </w:t>
      </w:r>
      <w:r>
        <w:rPr>
          <w:rFonts w:ascii="Tahoma" w:hAnsi="Tahoma" w:cs="Tahoma"/>
          <w:sz w:val="16"/>
          <w:szCs w:val="12"/>
        </w:rPr>
        <w:t xml:space="preserve">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tale da mantenere intatti i diritti dell’Utente Finale. In tali circostanze l’Utente Finale dovrà mantenere la documentazione della configurazione hardware del server </w:t>
      </w:r>
      <w:r>
        <w:rPr>
          <w:rFonts w:ascii="Tahoma" w:hAnsi="Tahoma" w:cs="Tahoma"/>
          <w:sz w:val="16"/>
          <w:szCs w:val="16"/>
        </w:rPr>
        <w:t>contenente la traccia dei diritti concessi in licenza.</w:t>
      </w:r>
    </w:p>
    <w:p w14:paraId="1B48130B" w14:textId="77777777" w:rsidR="009B7131" w:rsidRPr="007E146D" w:rsidRDefault="009B7131" w:rsidP="00C267FD"/>
    <w:p w14:paraId="1EE0A157" w14:textId="139525A3" w:rsidR="005D69F1" w:rsidRPr="005D69F1" w:rsidRDefault="00B017CA" w:rsidP="005D69F1">
      <w:pPr>
        <w:pStyle w:val="ListParagraph"/>
        <w:numPr>
          <w:ilvl w:val="0"/>
          <w:numId w:val="25"/>
        </w:numPr>
        <w:spacing w:before="120" w:after="20"/>
        <w:rPr>
          <w:rFonts w:ascii="Tahoma" w:hAnsi="Tahoma" w:cs="Tahoma"/>
          <w:b/>
          <w:color w:val="FF6600"/>
          <w:sz w:val="24"/>
          <w:szCs w:val="24"/>
          <w:lang w:eastAsia="x-none"/>
        </w:rPr>
      </w:pPr>
      <w:r w:rsidRPr="005D69F1">
        <w:rPr>
          <w:rFonts w:ascii="Tahoma" w:hAnsi="Tahoma" w:cs="Tahoma"/>
          <w:b/>
          <w:color w:val="FF6600"/>
          <w:sz w:val="24"/>
          <w:szCs w:val="24"/>
        </w:rPr>
        <w:t>Informazioni sul Codice “Product Key”</w:t>
      </w:r>
      <w:r w:rsidR="005D69F1" w:rsidRPr="005D69F1">
        <w:rPr>
          <w:rFonts w:ascii="Tahoma" w:hAnsi="Tahoma" w:cs="Tahoma"/>
          <w:b/>
          <w:color w:val="FF6600"/>
          <w:sz w:val="24"/>
          <w:szCs w:val="24"/>
          <w:lang w:eastAsia="x-none"/>
        </w:rPr>
        <w:t xml:space="preserve"> </w:t>
      </w:r>
    </w:p>
    <w:p w14:paraId="22BB8D93" w14:textId="0735328B" w:rsidR="003034F7" w:rsidRPr="005D69F1" w:rsidRDefault="003034F7" w:rsidP="005D69F1">
      <w:pPr>
        <w:spacing w:before="120" w:after="20"/>
        <w:rPr>
          <w:rFonts w:ascii="Tahoma" w:hAnsi="Tahoma" w:cs="Tahoma"/>
        </w:rPr>
      </w:pPr>
    </w:p>
    <w:p w14:paraId="22BB8D94" w14:textId="77777777" w:rsidR="008C62F2" w:rsidRPr="007E146D" w:rsidRDefault="00B017CA" w:rsidP="00C267FD">
      <w:pPr>
        <w:numPr>
          <w:ilvl w:val="0"/>
          <w:numId w:val="23"/>
        </w:numPr>
      </w:pPr>
      <w:r>
        <w:rPr>
          <w:rFonts w:ascii="Tahoma" w:hAnsi="Tahoma" w:cs="Tahoma"/>
        </w:rPr>
        <w:t>I prodotti contrassegnati da “s”: il codice di installazione del prodotto è disponibile sull’etichetta fornita con i supporti di memorizzazione di rete.</w:t>
      </w:r>
    </w:p>
    <w:p w14:paraId="22BB8D95" w14:textId="69AB9937" w:rsidR="00B017CA" w:rsidRPr="007E146D" w:rsidRDefault="00B017CA" w:rsidP="00C267FD">
      <w:pPr>
        <w:numPr>
          <w:ilvl w:val="0"/>
          <w:numId w:val="23"/>
        </w:numPr>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9" w:history="1">
        <w:r>
          <w:rPr>
            <w:rStyle w:val="Hyperlink"/>
            <w:rFonts w:ascii="Tahoma" w:hAnsi="Tahoma" w:cs="Tahoma"/>
          </w:rPr>
          <w:t>http://technet.microsoft.com/en-us/library/ff603511.aspx</w:t>
        </w:r>
      </w:hyperlink>
    </w:p>
    <w:p w14:paraId="22BB8D96" w14:textId="77777777" w:rsidR="00A26EDA" w:rsidRPr="007E146D" w:rsidRDefault="00B017CA" w:rsidP="00C267FD">
      <w:pPr>
        <w:numPr>
          <w:ilvl w:val="0"/>
          <w:numId w:val="23"/>
        </w:numPr>
      </w:pPr>
      <w:r>
        <w:rPr>
          <w:rFonts w:ascii="Tahoma" w:hAnsi="Tahoma" w:cs="Tahoma"/>
        </w:rPr>
        <w:t xml:space="preserve">I prodotti contrassegnati da “r”: per i codici delle CAL RDS il licenziatario dovrà scrivere all’indirizzo </w:t>
      </w:r>
      <w:hyperlink r:id="rId10" w:history="1">
        <w:r>
          <w:rPr>
            <w:rStyle w:val="Hyperlink"/>
            <w:rFonts w:ascii="Tahoma" w:hAnsi="Tahoma" w:cs="Tahoma"/>
          </w:rPr>
          <w:t>isvroy@microsoft.com</w:t>
        </w:r>
      </w:hyperlink>
      <w:r>
        <w:rPr>
          <w:rFonts w:ascii="Tahoma" w:hAnsi="Tahoma" w:cs="Tahoma"/>
        </w:rPr>
        <w:t xml:space="preserve"> </w:t>
      </w:r>
    </w:p>
    <w:p w14:paraId="22BB8D98" w14:textId="77777777" w:rsidR="000C5051" w:rsidRPr="00E0035D" w:rsidRDefault="000C5051" w:rsidP="00C267FD">
      <w:pPr>
        <w:rPr>
          <w:rFonts w:ascii="Tahoma" w:hAnsi="Tahoma" w:cs="Tahoma"/>
        </w:rPr>
      </w:pPr>
    </w:p>
    <w:p w14:paraId="22BB8D99" w14:textId="7B6A7665" w:rsidR="00555783" w:rsidRPr="005D69F1" w:rsidRDefault="00CC3B64" w:rsidP="00C267FD">
      <w:pPr>
        <w:rPr>
          <w:rFonts w:ascii="Tahoma" w:hAnsi="Tahoma" w:cs="Tahoma"/>
          <w:b/>
          <w:color w:val="FF6600"/>
          <w:sz w:val="24"/>
          <w:szCs w:val="24"/>
          <w:lang w:val="en-US" w:eastAsia="x-none" w:bidi="ar-SA"/>
        </w:rPr>
      </w:pPr>
      <w:r w:rsidRPr="005D69F1">
        <w:rPr>
          <w:rFonts w:ascii="Tahoma" w:hAnsi="Tahoma" w:cs="Tahoma"/>
          <w:b/>
          <w:color w:val="FF6600"/>
          <w:sz w:val="24"/>
          <w:szCs w:val="24"/>
          <w:lang w:val="en-US" w:eastAsia="x-none" w:bidi="ar-SA"/>
        </w:rPr>
        <w:t>Condizioni Aggiuntive per i Programmi</w:t>
      </w:r>
    </w:p>
    <w:p w14:paraId="22BB8D9A" w14:textId="77777777" w:rsidR="009D5753" w:rsidRPr="00E0035D" w:rsidRDefault="009D5753" w:rsidP="00C267FD">
      <w:pPr>
        <w:spacing w:before="120" w:after="20"/>
        <w:jc w:val="center"/>
        <w:rPr>
          <w:rFonts w:ascii="Tahoma" w:hAnsi="Tahoma" w:cs="Tahoma"/>
        </w:rPr>
      </w:pPr>
    </w:p>
    <w:p w14:paraId="22BB8D9B" w14:textId="146C1925" w:rsidR="00FA6CE6" w:rsidRPr="007E146D" w:rsidRDefault="003034F7" w:rsidP="00C267FD">
      <w:pPr>
        <w:numPr>
          <w:ilvl w:val="0"/>
          <w:numId w:val="14"/>
        </w:numPr>
        <w:jc w:val="both"/>
      </w:pPr>
      <w:r>
        <w:rPr>
          <w:rFonts w:ascii="Tahoma" w:hAnsi="Tahoma" w:cs="Tahoma"/>
          <w:b/>
        </w:rPr>
        <w:t>Riservatezza dei Codici</w:t>
      </w:r>
      <w:r w:rsidRPr="005D69F1">
        <w:rPr>
          <w:rFonts w:ascii="Tahoma" w:hAnsi="Tahoma" w:cs="Tahoma"/>
          <w:b/>
          <w:bCs/>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1" w:history="1">
        <w:r>
          <w:rPr>
            <w:rStyle w:val="Hyperlink"/>
            <w:rFonts w:ascii="Tahoma" w:hAnsi="Tahoma" w:cs="Tahoma"/>
          </w:rPr>
          <w:t>http://www.microsoft.com/piracy/</w:t>
        </w:r>
      </w:hyperlink>
      <w:r>
        <w:rPr>
          <w:rFonts w:ascii="Tahoma" w:hAnsi="Tahoma" w:cs="Tahoma"/>
        </w:rPr>
        <w:t>.</w:t>
      </w:r>
    </w:p>
    <w:p w14:paraId="22BB8D9C" w14:textId="77777777" w:rsidR="00FA6CE6" w:rsidRPr="007E146D" w:rsidRDefault="00FA6CE6" w:rsidP="00C267FD">
      <w:pPr>
        <w:pStyle w:val="Firstpara"/>
        <w:spacing w:before="0"/>
        <w:ind w:left="360"/>
        <w:jc w:val="both"/>
      </w:pPr>
    </w:p>
    <w:p w14:paraId="22BB8D9D" w14:textId="5E0B5588" w:rsidR="00CC3B64" w:rsidRPr="007E146D" w:rsidRDefault="00CC3B64" w:rsidP="00C267FD">
      <w:pPr>
        <w:pStyle w:val="Firstpara"/>
        <w:numPr>
          <w:ilvl w:val="0"/>
          <w:numId w:val="14"/>
        </w:numPr>
        <w:spacing w:before="0"/>
        <w:jc w:val="both"/>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E" w14:textId="77777777" w:rsidR="003F3497" w:rsidRPr="00E0035D" w:rsidRDefault="003F3497" w:rsidP="00C267FD">
      <w:pPr>
        <w:rPr>
          <w:rFonts w:ascii="Tahoma" w:hAnsi="Tahoma" w:cs="Tahoma"/>
        </w:rPr>
      </w:pPr>
    </w:p>
    <w:p w14:paraId="22BB8D9F" w14:textId="6D164193" w:rsidR="003F3497" w:rsidRPr="007E146D" w:rsidRDefault="003F3497" w:rsidP="00C267FD">
      <w:pPr>
        <w:numPr>
          <w:ilvl w:val="0"/>
          <w:numId w:val="14"/>
        </w:numPr>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0" w14:textId="77777777" w:rsidR="00CC3B64" w:rsidRPr="00E0035D" w:rsidRDefault="00CC3B64" w:rsidP="00C267FD">
      <w:pPr>
        <w:pStyle w:val="Firstpara"/>
        <w:spacing w:before="0"/>
        <w:ind w:left="0"/>
        <w:jc w:val="both"/>
        <w:rPr>
          <w:rFonts w:ascii="Tahoma" w:hAnsi="Tahoma" w:cs="Tahoma"/>
        </w:rPr>
      </w:pPr>
    </w:p>
    <w:p w14:paraId="22BB8DA1" w14:textId="3F0513DF" w:rsidR="00CC3B64" w:rsidRPr="007E146D" w:rsidRDefault="00CC3B64" w:rsidP="00C267FD">
      <w:pPr>
        <w:pStyle w:val="Firstpara"/>
        <w:numPr>
          <w:ilvl w:val="0"/>
          <w:numId w:val="14"/>
        </w:numPr>
        <w:spacing w:before="0"/>
        <w:jc w:val="both"/>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2" w14:textId="31E9CA6D" w:rsidR="00AC12F9" w:rsidRPr="00E0035D" w:rsidRDefault="00AC12F9" w:rsidP="00C267FD">
      <w:pPr>
        <w:rPr>
          <w:rFonts w:ascii="Tahoma" w:hAnsi="Tahoma" w:cs="Tahoma"/>
        </w:rPr>
      </w:pPr>
    </w:p>
    <w:p w14:paraId="22BB8DA3" w14:textId="6DBA3966" w:rsidR="00CC3B64" w:rsidRPr="008F6E3B" w:rsidRDefault="00CC3B64" w:rsidP="00C267FD">
      <w:pPr>
        <w:numPr>
          <w:ilvl w:val="0"/>
          <w:numId w:val="14"/>
        </w:numPr>
        <w:jc w:val="both"/>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3089F25" w14:textId="77777777" w:rsidR="008F6E3B" w:rsidRPr="008F6E3B" w:rsidRDefault="008F6E3B" w:rsidP="008F6E3B">
      <w:pPr>
        <w:ind w:left="450"/>
        <w:jc w:val="both"/>
        <w:rPr>
          <w:rFonts w:ascii="Tahoma" w:hAnsi="Tahoma" w:cs="Tahoma"/>
        </w:rPr>
      </w:pPr>
    </w:p>
    <w:p w14:paraId="22BB8DA5" w14:textId="33AD8910" w:rsidR="00CC3B64" w:rsidRPr="007E146D" w:rsidRDefault="00CC3B64" w:rsidP="00C267FD">
      <w:pPr>
        <w:numPr>
          <w:ilvl w:val="0"/>
          <w:numId w:val="14"/>
        </w:numPr>
        <w:jc w:val="both"/>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6" w14:textId="77777777" w:rsidR="00CC3B64" w:rsidRPr="00E0035D" w:rsidRDefault="00CC3B64" w:rsidP="00C267FD">
      <w:pPr>
        <w:jc w:val="both"/>
        <w:rPr>
          <w:rFonts w:ascii="Tahoma" w:hAnsi="Tahoma" w:cs="Tahoma"/>
        </w:rPr>
      </w:pPr>
    </w:p>
    <w:p w14:paraId="22BB8DA7" w14:textId="77777777" w:rsidR="00CC3B64" w:rsidRPr="007E146D" w:rsidRDefault="00CC3B64" w:rsidP="00C267FD">
      <w:pPr>
        <w:numPr>
          <w:ilvl w:val="0"/>
          <w:numId w:val="3"/>
        </w:numPr>
        <w:jc w:val="both"/>
      </w:pPr>
      <w:r>
        <w:rPr>
          <w:rFonts w:ascii="Tahoma" w:hAnsi="Tahoma" w:cs="Tahoma"/>
        </w:rPr>
        <w:t>dovrà aver prima sottoscritto un modulo per Contratto Academic e per Iscrizione Academic e</w:t>
      </w:r>
    </w:p>
    <w:p w14:paraId="22BB8DA8" w14:textId="77777777" w:rsidR="00CC3B64" w:rsidRPr="007E146D" w:rsidRDefault="00CC3B64" w:rsidP="00C267FD">
      <w:pPr>
        <w:numPr>
          <w:ilvl w:val="0"/>
          <w:numId w:val="3"/>
        </w:numPr>
        <w:jc w:val="both"/>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4F1D9724" w:rsidR="00CC3B64" w:rsidRPr="007E146D" w:rsidRDefault="00CC3B64" w:rsidP="00C267FD">
      <w:pPr>
        <w:numPr>
          <w:ilvl w:val="0"/>
          <w:numId w:val="3"/>
        </w:numPr>
        <w:jc w:val="both"/>
      </w:pPr>
      <w:r>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 </w:t>
      </w:r>
    </w:p>
    <w:p w14:paraId="22BB8DAB" w14:textId="4567C1CB" w:rsidR="00CC3B64" w:rsidRPr="007E146D" w:rsidRDefault="00CC3B64" w:rsidP="00C267FD">
      <w:pPr>
        <w:ind w:firstLine="360"/>
        <w:jc w:val="both"/>
      </w:pPr>
      <w:r>
        <w:rPr>
          <w:rFonts w:ascii="Tahoma" w:hAnsi="Tahoma" w:cs="Tahoma"/>
        </w:rPr>
        <w:t>I criteri riguardanti gli Utenti Finali qualificati education sono specificati nell’Iscrizione Academic.</w:t>
      </w:r>
    </w:p>
    <w:p w14:paraId="22BB8DAC" w14:textId="77777777" w:rsidR="009E28CD" w:rsidRPr="00E0035D" w:rsidRDefault="009E28CD" w:rsidP="00C267FD">
      <w:pPr>
        <w:rPr>
          <w:rFonts w:ascii="Tahoma" w:hAnsi="Tahoma" w:cs="Tahoma"/>
        </w:rPr>
      </w:pPr>
    </w:p>
    <w:p w14:paraId="22BB8DAD" w14:textId="2E264808" w:rsidR="00554191" w:rsidRPr="007E146D" w:rsidRDefault="00554191" w:rsidP="00C267FD">
      <w:pPr>
        <w:pStyle w:val="Firstpara"/>
        <w:numPr>
          <w:ilvl w:val="0"/>
          <w:numId w:val="14"/>
        </w:numPr>
        <w:spacing w:before="0"/>
        <w:jc w:val="both"/>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E" w14:textId="77777777" w:rsidR="00554191" w:rsidRPr="00E0035D" w:rsidRDefault="00554191" w:rsidP="00C267FD">
      <w:pPr>
        <w:jc w:val="both"/>
        <w:rPr>
          <w:rFonts w:ascii="Tahoma" w:hAnsi="Tahoma" w:cs="Tahoma"/>
        </w:rPr>
      </w:pPr>
    </w:p>
    <w:p w14:paraId="22BB8DAF" w14:textId="77777777" w:rsidR="00554191" w:rsidRPr="007E146D" w:rsidRDefault="00554191" w:rsidP="00C267FD">
      <w:pPr>
        <w:numPr>
          <w:ilvl w:val="0"/>
          <w:numId w:val="2"/>
        </w:numPr>
        <w:tabs>
          <w:tab w:val="clear" w:pos="720"/>
        </w:tabs>
        <w:ind w:left="1260"/>
        <w:jc w:val="both"/>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7E146D" w:rsidRDefault="00554191" w:rsidP="00C267FD">
      <w:pPr>
        <w:numPr>
          <w:ilvl w:val="0"/>
          <w:numId w:val="2"/>
        </w:numPr>
        <w:tabs>
          <w:tab w:val="clear" w:pos="720"/>
        </w:tabs>
        <w:ind w:left="1260"/>
        <w:jc w:val="both"/>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4964E224" w14:textId="65D98EF4" w:rsidR="006A34DC" w:rsidRPr="00E0035D" w:rsidRDefault="006A34DC" w:rsidP="00C267FD">
      <w:pPr>
        <w:jc w:val="both"/>
        <w:rPr>
          <w:rFonts w:ascii="Tahoma" w:hAnsi="Tahoma" w:cs="Tahoma"/>
        </w:rPr>
      </w:pPr>
    </w:p>
    <w:p w14:paraId="39597029" w14:textId="1150EC15" w:rsidR="006A34DC" w:rsidRPr="007E146D" w:rsidRDefault="006A34DC" w:rsidP="00DA1DEE">
      <w:pPr>
        <w:pStyle w:val="Firstpara"/>
        <w:numPr>
          <w:ilvl w:val="0"/>
          <w:numId w:val="14"/>
        </w:numPr>
        <w:spacing w:before="0"/>
        <w:ind w:left="446"/>
        <w:jc w:val="both"/>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7910F228" w14:textId="77777777" w:rsidR="00DA1DEE" w:rsidRPr="00E0035D" w:rsidRDefault="00DA1DEE" w:rsidP="00DA1DEE">
      <w:pPr>
        <w:pStyle w:val="Firstpara"/>
        <w:spacing w:before="0"/>
        <w:ind w:left="446"/>
        <w:jc w:val="both"/>
        <w:rPr>
          <w:rFonts w:ascii="Tahoma" w:hAnsi="Tahoma" w:cs="Tahoma"/>
        </w:rPr>
      </w:pPr>
    </w:p>
    <w:p w14:paraId="02ACAF5D" w14:textId="24813BEB" w:rsidR="00DA1DEE" w:rsidRPr="007E146D" w:rsidRDefault="00DA1DEE" w:rsidP="00DA1DEE">
      <w:pPr>
        <w:pStyle w:val="NoSpacing"/>
        <w:numPr>
          <w:ilvl w:val="0"/>
          <w:numId w:val="14"/>
        </w:numPr>
      </w:pPr>
      <w:r>
        <w:rPr>
          <w:rFonts w:ascii="Tahoma" w:eastAsia="MS Mincho" w:hAnsi="Tahoma" w:cs="Tahoma"/>
          <w:b/>
          <w:sz w:val="20"/>
          <w:szCs w:val="20"/>
        </w:rPr>
        <w:t xml:space="preserve">Diritti di Downgrade. </w:t>
      </w:r>
      <w:r>
        <w:rPr>
          <w:rFonts w:ascii="Tahoma" w:hAnsi="Tahoma" w:cs="Tahoma"/>
          <w:color w:val="000000"/>
          <w:sz w:val="20"/>
          <w:szCs w:val="2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sz w:val="20"/>
          <w:szCs w:val="20"/>
        </w:rPr>
        <w:t xml:space="preserve">entro la </w:t>
      </w:r>
      <w:r>
        <w:rPr>
          <w:rFonts w:ascii="Tahoma" w:hAnsi="Tahoma" w:cs="Tahoma"/>
          <w:color w:val="000000"/>
          <w:sz w:val="20"/>
          <w:szCs w:val="20"/>
        </w:rPr>
        <w:t xml:space="preserve">Data di Scadenza del Supporto Esteso Microsoft come stabilito nei Criteri relativi al Ciclo di Vita del Supporto di Microsoft </w:t>
      </w:r>
      <w:hyperlink r:id="rId12" w:history="1">
        <w:r>
          <w:rPr>
            <w:rStyle w:val="Hyperlink"/>
            <w:rFonts w:ascii="Tahoma" w:hAnsi="Tahoma" w:cs="Tahoma"/>
            <w:sz w:val="20"/>
            <w:szCs w:val="20"/>
          </w:rPr>
          <w:t>https://support.microsoft.com/gp/lifeselect</w:t>
        </w:r>
      </w:hyperlink>
      <w:r>
        <w:rPr>
          <w:rFonts w:ascii="Tahoma" w:hAnsi="Tahoma" w:cs="Tahoma"/>
          <w:sz w:val="20"/>
          <w:szCs w:val="20"/>
        </w:rPr>
        <w:t xml:space="preserve"> o su un altro sito che Microsoft avrà cura di segnalare.</w:t>
      </w:r>
      <w:r w:rsidR="00BA57F0">
        <w:rPr>
          <w:rFonts w:ascii="Tahoma" w:hAnsi="Tahoma" w:cs="Tahoma"/>
          <w:sz w:val="20"/>
          <w:szCs w:val="20"/>
        </w:rPr>
        <w:t xml:space="preserve"> </w:t>
      </w:r>
      <w:r>
        <w:rPr>
          <w:rFonts w:ascii="Tahoma" w:hAnsi="Tahoma" w:cs="Tahoma"/>
          <w:color w:val="000000"/>
          <w:sz w:val="20"/>
          <w:szCs w:val="20"/>
        </w:rPr>
        <w:t>Il diritto di distribuire una versione precedente dei Prodotti ai sensi di tali Diritti di Downgrade non estende il Ciclo di Vita del Supporto delle versioni precedenti dei Prodotti</w:t>
      </w:r>
      <w:r>
        <w:rPr>
          <w:rFonts w:ascii="Tahoma" w:hAnsi="Tahoma" w:cs="Tahoma"/>
          <w:sz w:val="20"/>
          <w:szCs w:val="20"/>
        </w:rPr>
        <w:t xml:space="preserve">. </w:t>
      </w:r>
      <w:r>
        <w:rPr>
          <w:rFonts w:ascii="Tahoma" w:hAnsi="Tahoma" w:cs="Tahoma"/>
          <w:color w:val="000000"/>
          <w:sz w:val="20"/>
          <w:szCs w:val="20"/>
        </w:rPr>
        <w:t>Il licenziatario dovrà ottenere in licenza i Prodotti distribuiti in conformità alle Condizioni di Licenza Microsoft per il Prodotto indicato.</w:t>
      </w:r>
    </w:p>
    <w:p w14:paraId="1ED17B0A" w14:textId="77777777" w:rsidR="003331FA" w:rsidRPr="00E0035D" w:rsidRDefault="003331FA" w:rsidP="003331FA">
      <w:pPr>
        <w:pStyle w:val="ListParagraph"/>
        <w:rPr>
          <w:rFonts w:ascii="Tahoma" w:hAnsi="Tahoma" w:cs="Tahoma"/>
        </w:rPr>
      </w:pPr>
    </w:p>
    <w:p w14:paraId="4B33D725" w14:textId="0C77FE7C" w:rsidR="003331FA" w:rsidRPr="007E146D" w:rsidRDefault="003331FA" w:rsidP="003331FA">
      <w:pPr>
        <w:pStyle w:val="NoSpacing"/>
        <w:ind w:left="45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35D02FF8" w14:textId="77777777" w:rsidR="00DA1DEE" w:rsidRPr="007E146D" w:rsidRDefault="00DA1DEE" w:rsidP="00BD4692">
      <w:pPr>
        <w:pStyle w:val="NoSpacing"/>
        <w:ind w:left="450"/>
      </w:pPr>
    </w:p>
    <w:p w14:paraId="47A40D7A" w14:textId="30E459A8" w:rsidR="00DA1DEE" w:rsidRPr="007E146D" w:rsidRDefault="00DA1DEE" w:rsidP="00DA1DEE">
      <w:pPr>
        <w:pStyle w:val="ListParagraph"/>
        <w:numPr>
          <w:ilvl w:val="0"/>
          <w:numId w:val="14"/>
        </w:numPr>
      </w:pPr>
      <w:r>
        <w:rPr>
          <w:rFonts w:ascii="Tahoma" w:hAnsi="Tahoma" w:cs="Tahoma"/>
          <w:b/>
        </w:rPr>
        <w:t>Distribuzione Estesa.</w:t>
      </w:r>
      <w:r w:rsidR="00BA57F0">
        <w:rPr>
          <w:rFonts w:ascii="Tahoma" w:hAnsi="Tahoma" w:cs="Tahoma"/>
          <w:b/>
        </w:rPr>
        <w:t xml:space="preserve">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5EDFC484" w14:textId="77777777" w:rsidR="00DA1DEE" w:rsidRPr="00E0035D" w:rsidRDefault="00DA1DEE" w:rsidP="00BD4692">
      <w:pPr>
        <w:pStyle w:val="ListParagraph"/>
        <w:ind w:left="450"/>
        <w:rPr>
          <w:rFonts w:ascii="Tahoma" w:hAnsi="Tahoma" w:cs="Tahoma"/>
        </w:rPr>
      </w:pPr>
    </w:p>
    <w:p w14:paraId="7BA5E951" w14:textId="77777777" w:rsidR="00DA1DEE" w:rsidRPr="007E146D" w:rsidRDefault="00DA1DEE" w:rsidP="00BD4692">
      <w:pPr>
        <w:pStyle w:val="ListParagraph"/>
        <w:ind w:left="450"/>
        <w:jc w:val="both"/>
      </w:pPr>
      <w:r>
        <w:rPr>
          <w:rFonts w:ascii="Tahoma" w:hAnsi="Tahoma" w:cs="Tahoma"/>
        </w:rPr>
        <w:t>Tale prolungamento della Distribuzione Estesa non si applica ai prodotti che seguono. Il licenziatario potrà distribuire i prodotti che seguono solo per un massimo di 24 mesi dal momento in cui il Prodotto è stato rimosso dalla Lista dei Prodotti ISVR.</w:t>
      </w:r>
    </w:p>
    <w:p w14:paraId="4982D87D" w14:textId="77777777" w:rsidR="00DA1DEE" w:rsidRPr="00E0035D"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Nome del Prodotto</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rPr>
              <w:t>SQL Server 2008 R2, Edizioni Standard, Enterprise, Datacenter e Workgroup (Tutte le Versioni)</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Server 2010, Edizioni Branch, Standard ed Enterprise (Tutte le Versioni)</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MapPoint (Tutte le Versioni)</w:t>
            </w:r>
          </w:p>
        </w:tc>
      </w:tr>
    </w:tbl>
    <w:p w14:paraId="08169833" w14:textId="77777777" w:rsidR="006A34DC" w:rsidRPr="007E146D" w:rsidRDefault="006A34DC" w:rsidP="00C267FD">
      <w:pPr>
        <w:jc w:val="both"/>
      </w:pPr>
    </w:p>
    <w:sectPr w:rsidR="006A34DC" w:rsidRPr="007E146D"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4D6C9" w14:textId="77777777" w:rsidR="00D56011" w:rsidRDefault="00D56011">
      <w:r>
        <w:separator/>
      </w:r>
    </w:p>
  </w:endnote>
  <w:endnote w:type="continuationSeparator" w:id="0">
    <w:p w14:paraId="0AC1AF9E" w14:textId="77777777" w:rsidR="00D56011" w:rsidRDefault="00D56011">
      <w:r>
        <w:continuationSeparator/>
      </w:r>
    </w:p>
  </w:endnote>
  <w:endnote w:type="continuationNotice" w:id="1">
    <w:p w14:paraId="5CE54153" w14:textId="77777777" w:rsidR="00D56011" w:rsidRDefault="00D56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122F8" w14:textId="77777777" w:rsidR="0054022E" w:rsidRDefault="005402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C5CD6" w14:textId="77777777" w:rsidR="008F6E3B" w:rsidRPr="009E2ED0" w:rsidRDefault="008F6E3B" w:rsidP="008F6E3B">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54022E">
      <w:rPr>
        <w:rFonts w:cs="Times New Roman"/>
        <w:noProof/>
      </w:rPr>
      <w:t>3</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54022E">
      <w:rPr>
        <w:rStyle w:val="PageNumber"/>
        <w:rFonts w:cs="Times New Roman"/>
        <w:noProof/>
      </w:rPr>
      <w:t>9</w:t>
    </w:r>
    <w:r w:rsidRPr="009E2ED0">
      <w:rPr>
        <w:rStyle w:val="PageNumber"/>
        <w:rFonts w:cs="Times New Roman"/>
      </w:rPr>
      <w:fldChar w:fldCharType="end"/>
    </w:r>
  </w:p>
  <w:p w14:paraId="12A249F3" w14:textId="77777777" w:rsidR="008F6E3B" w:rsidRPr="009E2ED0" w:rsidRDefault="008F6E3B" w:rsidP="008F6E3B">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38EB3" w14:textId="77777777" w:rsidR="008F6E3B" w:rsidRPr="009E2ED0" w:rsidRDefault="008F6E3B" w:rsidP="008F6E3B">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D56011">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D56011">
      <w:rPr>
        <w:rStyle w:val="PageNumber"/>
        <w:rFonts w:cs="Times New Roman"/>
        <w:noProof/>
      </w:rPr>
      <w:t>1</w:t>
    </w:r>
    <w:r w:rsidRPr="009E2ED0">
      <w:rPr>
        <w:rStyle w:val="PageNumber"/>
        <w:rFonts w:cs="Times New Roman"/>
      </w:rPr>
      <w:fldChar w:fldCharType="end"/>
    </w:r>
  </w:p>
  <w:p w14:paraId="20861A8F" w14:textId="77777777" w:rsidR="008F6E3B" w:rsidRPr="009E2ED0" w:rsidRDefault="008F6E3B" w:rsidP="008F6E3B">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April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EF431B" w14:textId="77777777" w:rsidR="00D56011" w:rsidRDefault="00D56011">
      <w:r>
        <w:separator/>
      </w:r>
    </w:p>
  </w:footnote>
  <w:footnote w:type="continuationSeparator" w:id="0">
    <w:p w14:paraId="57694E37" w14:textId="77777777" w:rsidR="00D56011" w:rsidRDefault="00D56011">
      <w:r>
        <w:continuationSeparator/>
      </w:r>
    </w:p>
  </w:footnote>
  <w:footnote w:type="continuationNotice" w:id="1">
    <w:p w14:paraId="25DA1F15" w14:textId="77777777" w:rsidR="00D56011" w:rsidRDefault="00D56011"/>
  </w:footnote>
  <w:footnote w:id="2">
    <w:p w14:paraId="25DD3DD1" w14:textId="77777777" w:rsidR="001F2141" w:rsidRDefault="001F2141" w:rsidP="001F2141">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6764C" w14:textId="77777777" w:rsidR="0054022E" w:rsidRDefault="005402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F5021902"/>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AFBADE16"/>
    <w:lvl w:ilvl="0" w:tplc="6FDCD6D2">
      <w:start w:val="1"/>
      <w:numFmt w:val="upperLetter"/>
      <w:lvlText w:val="%1)"/>
      <w:lvlJc w:val="left"/>
      <w:pPr>
        <w:ind w:left="810" w:hanging="360"/>
      </w:pPr>
      <w:rPr>
        <w:rFonts w:ascii="Tahoma" w:hAnsi="Tahoma" w:cs="Tahoma" w:hint="default"/>
        <w:b/>
        <w:bCs/>
        <w:color w:val="FF660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620865D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597445C2"/>
    <w:lvl w:ilvl="0" w:tplc="7DCA1FA8">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5B7BA7"/>
    <w:multiLevelType w:val="hybridMultilevel"/>
    <w:tmpl w:val="AFBADE16"/>
    <w:lvl w:ilvl="0" w:tplc="6FDCD6D2">
      <w:start w:val="1"/>
      <w:numFmt w:val="upperLetter"/>
      <w:lvlText w:val="%1)"/>
      <w:lvlJc w:val="left"/>
      <w:pPr>
        <w:ind w:left="810" w:hanging="360"/>
      </w:pPr>
      <w:rPr>
        <w:rFonts w:ascii="Tahoma" w:hAnsi="Tahoma" w:cs="Tahoma" w:hint="default"/>
        <w:b/>
        <w:bCs/>
        <w:color w:val="FF660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0B29E0"/>
    <w:multiLevelType w:val="hybridMultilevel"/>
    <w:tmpl w:val="EAA8F7B6"/>
    <w:lvl w:ilvl="0" w:tplc="8A24268E">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1"/>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2"/>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4BNW9YugbIj+X6voC5jZKqrG1Fb8kHn4xyFBpJijRISlwsLi7rJokUyuJ0KeKXeoPEo1oOTTCn/b9zfQLy3Mw==" w:salt="3R0S5eh3FZ04dTHEkSPTww=="/>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BB2"/>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57585"/>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8E"/>
    <w:rsid w:val="000E6E57"/>
    <w:rsid w:val="000E71F5"/>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14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472D"/>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114E"/>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3F6A91"/>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022E"/>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39B7"/>
    <w:rsid w:val="005C4351"/>
    <w:rsid w:val="005C587F"/>
    <w:rsid w:val="005C754D"/>
    <w:rsid w:val="005D084C"/>
    <w:rsid w:val="005D2142"/>
    <w:rsid w:val="005D4522"/>
    <w:rsid w:val="005D4BDC"/>
    <w:rsid w:val="005D69F1"/>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576E"/>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6D19"/>
    <w:rsid w:val="007B71E4"/>
    <w:rsid w:val="007B7551"/>
    <w:rsid w:val="007C03BC"/>
    <w:rsid w:val="007C0C18"/>
    <w:rsid w:val="007C1382"/>
    <w:rsid w:val="007C3832"/>
    <w:rsid w:val="007C4E84"/>
    <w:rsid w:val="007C5E96"/>
    <w:rsid w:val="007C6EB2"/>
    <w:rsid w:val="007D6EC8"/>
    <w:rsid w:val="007D7F93"/>
    <w:rsid w:val="007E146D"/>
    <w:rsid w:val="007F00F9"/>
    <w:rsid w:val="007F0992"/>
    <w:rsid w:val="007F0B03"/>
    <w:rsid w:val="007F174F"/>
    <w:rsid w:val="007F2A14"/>
    <w:rsid w:val="007F2F57"/>
    <w:rsid w:val="007F3401"/>
    <w:rsid w:val="007F57D7"/>
    <w:rsid w:val="00800AAF"/>
    <w:rsid w:val="00802496"/>
    <w:rsid w:val="00802A5F"/>
    <w:rsid w:val="008037CA"/>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026"/>
    <w:rsid w:val="00852B83"/>
    <w:rsid w:val="00854134"/>
    <w:rsid w:val="008561C0"/>
    <w:rsid w:val="0085789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969E9"/>
    <w:rsid w:val="008A0E02"/>
    <w:rsid w:val="008A1610"/>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60CF"/>
    <w:rsid w:val="008D79F1"/>
    <w:rsid w:val="008E195C"/>
    <w:rsid w:val="008E45A4"/>
    <w:rsid w:val="008E581A"/>
    <w:rsid w:val="008E64A4"/>
    <w:rsid w:val="008F3108"/>
    <w:rsid w:val="008F3373"/>
    <w:rsid w:val="008F3E36"/>
    <w:rsid w:val="008F4C47"/>
    <w:rsid w:val="008F6E3B"/>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0343"/>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6C06"/>
    <w:rsid w:val="009B7131"/>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8626E"/>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153"/>
    <w:rsid w:val="00BA137B"/>
    <w:rsid w:val="00BA225E"/>
    <w:rsid w:val="00BA3E62"/>
    <w:rsid w:val="00BA4759"/>
    <w:rsid w:val="00BA577D"/>
    <w:rsid w:val="00BA57F0"/>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12F4"/>
    <w:rsid w:val="00C249EC"/>
    <w:rsid w:val="00C267FD"/>
    <w:rsid w:val="00C27614"/>
    <w:rsid w:val="00C315AD"/>
    <w:rsid w:val="00C3281F"/>
    <w:rsid w:val="00C32D0E"/>
    <w:rsid w:val="00C32E15"/>
    <w:rsid w:val="00C36051"/>
    <w:rsid w:val="00C36C2C"/>
    <w:rsid w:val="00C37C3E"/>
    <w:rsid w:val="00C37DF7"/>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4A83"/>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6011"/>
    <w:rsid w:val="00D57549"/>
    <w:rsid w:val="00D579F3"/>
    <w:rsid w:val="00D60917"/>
    <w:rsid w:val="00D617FA"/>
    <w:rsid w:val="00D622F8"/>
    <w:rsid w:val="00D63435"/>
    <w:rsid w:val="00D63608"/>
    <w:rsid w:val="00D7078D"/>
    <w:rsid w:val="00D74DEF"/>
    <w:rsid w:val="00D834C7"/>
    <w:rsid w:val="00D86641"/>
    <w:rsid w:val="00D91E7D"/>
    <w:rsid w:val="00D9271D"/>
    <w:rsid w:val="00DA08B8"/>
    <w:rsid w:val="00DA0E2A"/>
    <w:rsid w:val="00DA196B"/>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344C"/>
    <w:rsid w:val="00DE440C"/>
    <w:rsid w:val="00DE4814"/>
    <w:rsid w:val="00DE5C60"/>
    <w:rsid w:val="00DE5F36"/>
    <w:rsid w:val="00DE6118"/>
    <w:rsid w:val="00DE67F0"/>
    <w:rsid w:val="00DF060E"/>
    <w:rsid w:val="00DF1149"/>
    <w:rsid w:val="00DF4279"/>
    <w:rsid w:val="00E0035D"/>
    <w:rsid w:val="00E00F86"/>
    <w:rsid w:val="00E01D47"/>
    <w:rsid w:val="00E034B7"/>
    <w:rsid w:val="00E038DE"/>
    <w:rsid w:val="00E06D14"/>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0BAE"/>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248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4EF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1D21"/>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17565689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124151046">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8E6D8-CB25-496D-AE9E-1F3069E1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5565</Words>
  <Characters>31722</Characters>
  <Application>Microsoft Office Word</Application>
  <DocSecurity>8</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37213</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2015-03-29T19:33:00Z</dcterms:created>
  <dcterms:modified xsi:type="dcterms:W3CDTF">2015-03-29T19:33:00Z</dcterms:modified>
</cp:coreProperties>
</file>